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DC47" w14:textId="77777777" w:rsidR="00E241F4" w:rsidRPr="00892215" w:rsidRDefault="00E241F4" w:rsidP="00E241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1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D7D5459" w14:textId="77777777" w:rsidR="00E241F4" w:rsidRPr="00892215" w:rsidRDefault="00E241F4" w:rsidP="00E241F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92215">
        <w:rPr>
          <w:rFonts w:ascii="Times New Roman" w:hAnsi="Times New Roman" w:cs="Times New Roman"/>
          <w:sz w:val="28"/>
          <w:szCs w:val="28"/>
        </w:rPr>
        <w:t>розширеного засідання Антикризового штабу стійкості економіки в умовах воєнного стану, Правління УСПП</w:t>
      </w:r>
    </w:p>
    <w:p w14:paraId="4C19E240" w14:textId="297D3793" w:rsidR="00E241F4" w:rsidRPr="00892215" w:rsidRDefault="00E241F4" w:rsidP="00E241F4">
      <w:pPr>
        <w:widowControl w:val="0"/>
        <w:spacing w:before="24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2215">
        <w:rPr>
          <w:rFonts w:ascii="Times New Roman" w:eastAsia="Times New Roman" w:hAnsi="Times New Roman" w:cs="Times New Roman"/>
          <w:i/>
          <w:iCs/>
          <w:sz w:val="28"/>
          <w:szCs w:val="28"/>
        </w:rPr>
        <w:t>м.Київ                                                                                              2</w:t>
      </w:r>
      <w:r w:rsidR="002A43BB" w:rsidRPr="00892215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892215">
        <w:rPr>
          <w:rFonts w:ascii="Times New Roman" w:eastAsia="Times New Roman" w:hAnsi="Times New Roman" w:cs="Times New Roman"/>
          <w:i/>
          <w:iCs/>
          <w:sz w:val="28"/>
          <w:szCs w:val="28"/>
        </w:rPr>
        <w:t>.0</w:t>
      </w:r>
      <w:r w:rsidR="002A43BB" w:rsidRPr="00892215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Pr="00892215">
        <w:rPr>
          <w:rFonts w:ascii="Times New Roman" w:eastAsia="Times New Roman" w:hAnsi="Times New Roman" w:cs="Times New Roman"/>
          <w:i/>
          <w:iCs/>
          <w:sz w:val="28"/>
          <w:szCs w:val="28"/>
        </w:rPr>
        <w:t>.2024 р.</w:t>
      </w:r>
    </w:p>
    <w:p w14:paraId="5369DED0" w14:textId="61FDE4AA" w:rsidR="00DD289B" w:rsidRPr="00892215" w:rsidRDefault="008B69DC" w:rsidP="00892215">
      <w:pPr>
        <w:spacing w:after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182963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розширен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засіданн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5892531"/>
      <w:r w:rsidRPr="008922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Антикризового штабу стійкості економіки в умовах воєнного стану</w:t>
      </w:r>
      <w:bookmarkEnd w:id="1"/>
      <w:r w:rsidRPr="008922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(АШ)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Правління УСПП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а участ</w:t>
      </w:r>
      <w:r w:rsidR="00262F1B" w:rsidRPr="00262F1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представників Верховної Ради України, </w:t>
      </w:r>
      <w:r w:rsidR="002A43BB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центральних органів виконавчої влади</w:t>
      </w:r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РНБО, </w:t>
      </w:r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Національної академії наук України, структурованих об’єднань та організацій  промисловців, підприємців, роботодавців,  профспілок, об’єднаних територіальних громад розглянут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E241F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питання </w:t>
      </w:r>
      <w:r w:rsidR="00865598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щодо </w:t>
      </w:r>
      <w:r w:rsidR="00865598" w:rsidRPr="00892215">
        <w:rPr>
          <w:rFonts w:ascii="Times New Roman" w:hAnsi="Times New Roman" w:cs="Times New Roman"/>
          <w:sz w:val="26"/>
          <w:szCs w:val="26"/>
        </w:rPr>
        <w:t>організації заходів</w:t>
      </w:r>
      <w:r w:rsidR="00865598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 </w:t>
      </w:r>
      <w:r w:rsidR="00DD289B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підвищення енергетичної стійкості країни, </w:t>
      </w:r>
      <w:r w:rsidR="00DD289B" w:rsidRPr="00892215">
        <w:rPr>
          <w:rFonts w:ascii="Times New Roman" w:hAnsi="Times New Roman" w:cs="Times New Roman"/>
          <w:sz w:val="26"/>
          <w:szCs w:val="26"/>
        </w:rPr>
        <w:t xml:space="preserve">реалізації проєктів </w:t>
      </w:r>
      <w:bookmarkStart w:id="2" w:name="_Hlk176339888"/>
      <w:r w:rsidR="00DD289B" w:rsidRPr="00892215">
        <w:rPr>
          <w:rFonts w:ascii="Times New Roman" w:hAnsi="Times New Roman" w:cs="Times New Roman"/>
          <w:sz w:val="26"/>
          <w:szCs w:val="26"/>
        </w:rPr>
        <w:t xml:space="preserve">формування </w:t>
      </w:r>
      <w:r w:rsidR="00DD289B" w:rsidRPr="00892215">
        <w:rPr>
          <w:rFonts w:ascii="Times New Roman" w:hAnsi="Times New Roman" w:cs="Times New Roman"/>
          <w:sz w:val="26"/>
          <w:szCs w:val="26"/>
          <w:lang w:eastAsia="uk-UA"/>
        </w:rPr>
        <w:t xml:space="preserve">децентралізованих енергетичних систем на базі малих систем розподілу, розвитку відновлювальної енергетики </w:t>
      </w:r>
      <w:bookmarkEnd w:id="2"/>
      <w:r w:rsidR="00865598" w:rsidRPr="00892215">
        <w:rPr>
          <w:rFonts w:ascii="Times New Roman" w:hAnsi="Times New Roman" w:cs="Times New Roman"/>
          <w:sz w:val="26"/>
          <w:szCs w:val="26"/>
          <w:lang w:eastAsia="uk-UA"/>
        </w:rPr>
        <w:t xml:space="preserve">у процесі </w:t>
      </w:r>
      <w:r w:rsidR="00865598" w:rsidRPr="00892215">
        <w:rPr>
          <w:rFonts w:ascii="Times New Roman" w:hAnsi="Times New Roman" w:cs="Times New Roman"/>
          <w:sz w:val="26"/>
          <w:szCs w:val="26"/>
        </w:rPr>
        <w:t>підготовки об’єктів паливно-енергетичного комплексу України до осінньо-зимового періоду 2024/25 року</w:t>
      </w:r>
      <w:r w:rsidR="00DD289B" w:rsidRPr="00892215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14:paraId="7A00C01B" w14:textId="22D1FA8C" w:rsidR="00F24937" w:rsidRPr="00892215" w:rsidRDefault="0068324B" w:rsidP="00892215">
      <w:pPr>
        <w:shd w:val="clear" w:color="auto" w:fill="FFFFFF"/>
        <w:spacing w:before="240" w:after="24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Інтенсивність атак Росії на енергетичну та цивільну інфраструктуру України</w:t>
      </w:r>
      <w:r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знижується, </w:t>
      </w:r>
      <w:r w:rsidR="002A43BB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>що несе серйозні ризики для економіки та суспільства</w:t>
      </w:r>
      <w:r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65598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1133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Станом на серпень 2024 року було зруйновано 632 котельні, 296 теплових пунктів, 625 км теплових мереж, </w:t>
      </w:r>
      <w:r w:rsidR="001C3E66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="006E1133" w:rsidRPr="00892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газорозподільчі станції, 18 ТЕС і ТЕЦ.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 даними Міненерго, через російські атаки на національну енергетичну інфраструктуру </w:t>
      </w:r>
      <w:r w:rsidR="00865598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кінця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березня цього року країна втратила половину </w:t>
      </w:r>
      <w:r w:rsidR="00865598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енерго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потужностей (близько 9 ГВт</w:t>
      </w:r>
      <w:r w:rsidR="00EE4A5E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), потрібних для проходження опалювального періоду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EE4A5E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</w:t>
      </w:r>
      <w:r w:rsidRPr="00892215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  <w:lang w:eastAsia="ru-RU"/>
        </w:rPr>
        <w:t xml:space="preserve">а умови наявності необхідного фінансування проєктів та продовження активної роботи з відновлення і проведення ремонтів, </w:t>
      </w:r>
      <w:r w:rsidR="00EE4A5E" w:rsidRPr="00892215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  <w:lang w:eastAsia="ru-RU"/>
        </w:rPr>
        <w:t xml:space="preserve">згідно з оцінками Міненерго, </w:t>
      </w:r>
      <w:r w:rsidRPr="00001457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  <w:lang w:eastAsia="ru-RU"/>
        </w:rPr>
        <w:t>до кінця календарного року можливо додати в систему ще близько 3 ГВт потужності, додатково до вже відновленої генерації електроенергії.</w:t>
      </w:r>
      <w:r w:rsidR="00EE4A5E" w:rsidRPr="0089221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="00262F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а </w:t>
      </w:r>
      <w:r w:rsidR="00262F1B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попередніми</w:t>
      </w:r>
      <w:r w:rsidR="00262F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оцінками, 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урахуванням імпорту</w:t>
      </w:r>
      <w:r w:rsidR="00262F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  дасть змогу забезпечити в сумі близько 14−15 ГВт у зимовий період, але не покри</w:t>
      </w:r>
      <w:r w:rsidR="006E1133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ватиме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01457" w:rsidRPr="00001457">
        <w:rPr>
          <w:rFonts w:ascii="Times New Roman" w:eastAsia="Times New Roman" w:hAnsi="Times New Roman" w:cs="Times New Roman"/>
          <w:sz w:val="26"/>
          <w:szCs w:val="26"/>
          <w:lang w:eastAsia="uk-UA"/>
        </w:rPr>
        <w:t>усіх</w:t>
      </w:r>
      <w:r w:rsidR="00F24937"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потреб і не компенсує можливий дефіцит.</w:t>
      </w:r>
    </w:p>
    <w:p w14:paraId="13BC36CB" w14:textId="6B4322A9" w:rsidR="00865598" w:rsidRPr="00892215" w:rsidRDefault="00F506CF" w:rsidP="00A37BD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</w:pPr>
      <w:r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>Аналіз реалізації рішення АШ від 20.06</w:t>
      </w:r>
      <w:r w:rsidR="00A37BDD"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. </w:t>
      </w:r>
      <w:r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2024 з питання </w:t>
      </w:r>
      <w:r w:rsidRPr="00892215">
        <w:rPr>
          <w:rFonts w:ascii="Times New Roman" w:hAnsi="Times New Roman" w:cs="Times New Roman"/>
          <w:color w:val="000000"/>
          <w:sz w:val="26"/>
          <w:szCs w:val="26"/>
        </w:rPr>
        <w:t>визначення балансу між можливостями енергетичної інфраструктури та необхідністю забезпечення діяльності економічно активних підприємств в умовах зростаючих обмежень у доступі до електроенергії</w:t>
      </w:r>
      <w:r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 </w:t>
      </w:r>
      <w:r w:rsidR="00F24B0A"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свідчить про активізацію </w:t>
      </w:r>
      <w:r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узгоджених дій центральних органів виконавчої влади </w:t>
      </w:r>
      <w:r w:rsidR="00F24B0A"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>на цьому напрямку:</w:t>
      </w:r>
      <w:r w:rsidR="00865598"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 </w:t>
      </w:r>
    </w:p>
    <w:p w14:paraId="37DD0CC3" w14:textId="2DA93E91" w:rsidR="00301552" w:rsidRPr="00892215" w:rsidRDefault="00301552" w:rsidP="0030155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215">
        <w:rPr>
          <w:rFonts w:ascii="Times New Roman" w:hAnsi="Times New Roman" w:cs="Times New Roman"/>
          <w:sz w:val="26"/>
          <w:szCs w:val="26"/>
        </w:rPr>
        <w:t xml:space="preserve">Окремі пропозиції АШ щодо підвищення енергетичної стійкості передбачається  використати в рамках діяльності робочої групи з підготовки матеріалів  рішення РНБО з питання додаткових заходів із забезпечення стійкості територіальних  громад в особливий період. </w:t>
      </w:r>
      <w:r w:rsidR="00262F1B">
        <w:rPr>
          <w:rFonts w:ascii="Times New Roman" w:hAnsi="Times New Roman" w:cs="Times New Roman"/>
          <w:sz w:val="26"/>
          <w:szCs w:val="26"/>
        </w:rPr>
        <w:t>З</w:t>
      </w:r>
      <w:r w:rsidRPr="008922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гідно із листом заступника Секретаря  РНБО №2410/14-05/2-24 від 05.07.2024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рішення АШ </w:t>
      </w:r>
      <w:r w:rsidRPr="008922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питання </w:t>
      </w:r>
      <w:r w:rsidRPr="008922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функціонування реального сектору економіки в умовах зростаючих обмежень у доступі до електроенергії </w:t>
      </w:r>
      <w:r w:rsidRPr="00892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підтримано та</w:t>
      </w:r>
      <w:r w:rsidRPr="0089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спрямовано на адресу КМУ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вжиття вичерпних заходів щодо безумовного виконання органами виконавчої влади завдання, визначеного підпунктом 6 пункту 1 рішення Ради національної безпеки і оборони України від 17 жовтня 2023 року «Про організацію захисту та забезпечення безпеки функціонування об’єктів критичної інфраструктури та енергетики України в умовах ведення воєнних дій», уведеного в дію Указом Президента України від 17 жовтня 2023 року № 695.</w:t>
      </w:r>
    </w:p>
    <w:p w14:paraId="3C59ED41" w14:textId="77777777" w:rsidR="008F4B71" w:rsidRPr="00892215" w:rsidRDefault="008F4B71" w:rsidP="00E37E3A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</w:p>
    <w:p w14:paraId="17F59DF6" w14:textId="162DF2E2" w:rsidR="00F24B0A" w:rsidRPr="00892215" w:rsidRDefault="00F24B0A" w:rsidP="00F24B0A">
      <w:pPr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lastRenderedPageBreak/>
        <w:t>Задля розвитку розподіленої генерації Кабінет</w:t>
      </w:r>
      <w:r w:rsidR="00E37E3A"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ом</w:t>
      </w: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Міністрів України:</w:t>
      </w:r>
    </w:p>
    <w:p w14:paraId="44B9A409" w14:textId="72A8451E" w:rsidR="00F24B0A" w:rsidRPr="00892215" w:rsidRDefault="00F24B0A" w:rsidP="0030155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затверджено</w:t>
      </w:r>
      <w:r w:rsidR="00E37E3A" w:rsidRPr="00892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E3A" w:rsidRPr="000F28E7">
        <w:rPr>
          <w:rFonts w:ascii="Times New Roman" w:hAnsi="Times New Roman" w:cs="Times New Roman"/>
          <w:sz w:val="26"/>
          <w:szCs w:val="26"/>
        </w:rPr>
        <w:t>(розпорядження КМУ від 13 серпня 2024 р. № 761-р)</w:t>
      </w: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Національний план дій з відновлюваної енергетики на період до 2030 року та план заходів з його реалізації.</w:t>
      </w:r>
    </w:p>
    <w:p w14:paraId="20D6B38E" w14:textId="3889B693" w:rsidR="00F24B0A" w:rsidRPr="00892215" w:rsidRDefault="00F24B0A" w:rsidP="00F24B0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встановлено </w:t>
      </w:r>
      <w:r w:rsidR="00E37E3A"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(розпорядження КМУ </w:t>
      </w:r>
      <w:r w:rsidR="00E37E3A" w:rsidRPr="000F28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від 13 серпня 2024 р. № 757-р)</w:t>
      </w:r>
      <w:r w:rsidR="00E37E3A" w:rsidRPr="0089221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додаткову річну квоту підтримки суб’єктів господарювання, що виробляють електричну енергію з альтернативних джерел енергії на 2024 рік, а також затверджено графік проведення пілотних аукціонів з розподілу квоти підтримки на 2024 рік.</w:t>
      </w:r>
    </w:p>
    <w:p w14:paraId="67B31098" w14:textId="62E76754" w:rsidR="00F24B0A" w:rsidRPr="00892215" w:rsidRDefault="00E37E3A" w:rsidP="00F24B0A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З</w:t>
      </w:r>
      <w:r w:rsidR="00F24B0A"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атверджено</w:t>
      </w:r>
      <w:r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(розпорядження КМУ </w:t>
      </w:r>
      <w:r w:rsidR="00F24B0A"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r w:rsidRPr="000F28E7">
        <w:rPr>
          <w:rStyle w:val="rvts9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від 13 серпня 2024 р. № 756-р</w:t>
      </w:r>
      <w:r w:rsidRPr="000F28E7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9221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F24B0A" w:rsidRPr="00892215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умови проведення конкурсу на будівництво генеруючих потужностей та виконання заходів з управління попитом. </w:t>
      </w:r>
    </w:p>
    <w:p w14:paraId="5B909865" w14:textId="77777777" w:rsidR="00F24B0A" w:rsidRPr="00892215" w:rsidRDefault="00F24B0A" w:rsidP="00F24B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94D8D40" w14:textId="0E248372" w:rsidR="00F24B0A" w:rsidRPr="00892215" w:rsidRDefault="00F24B0A" w:rsidP="00F24B0A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99" w:lineRule="exac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2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Згідно з листом НКРЕКП на адресу АШ (№ 8085/22.4.2/7-24 від 24.07.2024)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</w:t>
      </w:r>
      <w:r w:rsidRPr="00892215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залучення</w:t>
      </w:r>
      <w:r w:rsidRPr="00892215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інвестицій</w:t>
      </w:r>
      <w:r w:rsidRPr="00892215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92215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маневрені</w:t>
      </w:r>
      <w:r w:rsidRPr="00892215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генеруючі потужності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та/або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установки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зберігання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енергії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стимулювання</w:t>
      </w:r>
      <w:r w:rsidRPr="00892215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 конкуренції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ринку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допоміжних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послуг,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26.06.2024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Регулятором</w:t>
      </w:r>
      <w:r w:rsidRPr="00892215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прийнято постанову</w:t>
      </w:r>
      <w:r w:rsidRPr="00892215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922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1172</w:t>
      </w:r>
      <w:r w:rsidRPr="00892215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</w:t>
      </w:r>
      <w:r w:rsidRPr="00892215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</w:t>
      </w:r>
      <w:r w:rsidRPr="00892215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</w:t>
      </w:r>
      <w:r w:rsidRPr="00892215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92215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деяких</w:t>
      </w:r>
      <w:r w:rsidRPr="00892215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</w:t>
      </w:r>
      <w:r w:rsidRPr="00892215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НКРЕКП», якою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 w:rsidR="00262F1B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ринку,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затверджених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постановою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НКРЕКП</w:t>
      </w:r>
      <w:r w:rsidRPr="008922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14.03.2018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922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307,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Методики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ціни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допоміжні</w:t>
      </w:r>
      <w:r w:rsidRPr="00892215">
        <w:rPr>
          <w:rFonts w:ascii="Times New Roman" w:eastAsia="Times New Roman" w:hAnsi="Times New Roman" w:cs="Times New Roman"/>
          <w:spacing w:val="65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послуги, затвердженої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постановою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НКРЕКП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26.04.2019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922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635,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частині</w:t>
      </w:r>
      <w:r w:rsidRPr="00892215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впровадження спеціальних</w:t>
      </w:r>
      <w:r w:rsidRPr="00892215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аукціонів</w:t>
      </w:r>
      <w:r w:rsidRPr="00892215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892215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придбання</w:t>
      </w:r>
      <w:r w:rsidRPr="00892215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оператором</w:t>
      </w:r>
      <w:r w:rsidRPr="00892215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Pr="00892215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передачі</w:t>
      </w:r>
      <w:r w:rsidRPr="00892215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допоміжних послуг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r w:rsidRPr="00892215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резервів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регулювання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частоти</w:t>
      </w:r>
      <w:r w:rsidRPr="00892215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активної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потужності,</w:t>
      </w:r>
      <w:r w:rsidRPr="00892215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2215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саме автоматичних резервів.</w:t>
      </w:r>
    </w:p>
    <w:p w14:paraId="1F30A359" w14:textId="77777777" w:rsidR="00F24B0A" w:rsidRPr="00892215" w:rsidRDefault="00F24B0A" w:rsidP="00F24B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215">
        <w:rPr>
          <w:rFonts w:ascii="Times New Roman" w:hAnsi="Times New Roman" w:cs="Times New Roman"/>
          <w:i/>
          <w:iCs/>
          <w:sz w:val="24"/>
          <w:szCs w:val="24"/>
        </w:rPr>
        <w:t>Впровадження</w:t>
      </w:r>
      <w:r w:rsidRPr="00892215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спеціальних</w:t>
      </w:r>
      <w:r w:rsidRPr="00892215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аукціонів</w:t>
      </w:r>
      <w:r w:rsidRPr="00892215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сприятиме</w:t>
      </w:r>
      <w:r w:rsidRPr="00892215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збільшенню</w:t>
      </w:r>
      <w:r w:rsidRPr="00892215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конкуренції на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ринку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допоміжних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послуг,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також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дозволить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збільшити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обсяги</w:t>
      </w:r>
      <w:r w:rsidRPr="00892215">
        <w:rPr>
          <w:rFonts w:ascii="Times New Roman" w:hAnsi="Times New Roman" w:cs="Times New Roman"/>
          <w:i/>
          <w:iCs/>
          <w:spacing w:val="6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маневрової генеруючої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потужності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установок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зберігання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енергії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Об’єднаній</w:t>
      </w:r>
      <w:r w:rsidRPr="00892215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енергетичній системі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України,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що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є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критично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важливим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забезпечення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r w:rsidRPr="00892215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92215">
        <w:rPr>
          <w:rFonts w:ascii="Times New Roman" w:hAnsi="Times New Roman" w:cs="Times New Roman"/>
          <w:i/>
          <w:iCs/>
          <w:sz w:val="24"/>
          <w:szCs w:val="24"/>
        </w:rPr>
        <w:t>постачання електричної енергії споживачам.</w:t>
      </w:r>
    </w:p>
    <w:p w14:paraId="27F751AB" w14:textId="77777777" w:rsidR="00F24B0A" w:rsidRPr="00892215" w:rsidRDefault="00F24B0A" w:rsidP="00F24B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4D9C6" w14:textId="63FBBAB3" w:rsidR="00F24B0A" w:rsidRPr="00892215" w:rsidRDefault="00F24B0A" w:rsidP="00F24B0A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Відповідно до листа Міненерго на адресу АШ (№3831-01/57275-07 від 04.08.2024)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метою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справедливої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рівномірної</w:t>
      </w:r>
      <w:r w:rsidRPr="00892215">
        <w:rPr>
          <w:rFonts w:ascii="Times New Roman" w:eastAsia="Times New Roman" w:hAnsi="Times New Roman" w:cs="Times New Roman"/>
          <w:spacing w:val="59"/>
          <w:w w:val="15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черговості розподілу</w:t>
      </w:r>
      <w:r w:rsidRPr="00892215">
        <w:rPr>
          <w:rFonts w:ascii="Times New Roman" w:eastAsia="Times New Roman" w:hAnsi="Times New Roman" w:cs="Times New Roman"/>
          <w:spacing w:val="62"/>
          <w:sz w:val="26"/>
          <w:szCs w:val="26"/>
          <w:lang w:eastAsia="ru-RU"/>
        </w:rPr>
        <w:t xml:space="preserve"> 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доступної</w:t>
      </w:r>
      <w:r w:rsidRPr="00892215">
        <w:rPr>
          <w:rFonts w:ascii="Times New Roman" w:eastAsia="Times New Roman" w:hAnsi="Times New Roman" w:cs="Times New Roman"/>
          <w:spacing w:val="62"/>
          <w:sz w:val="26"/>
          <w:szCs w:val="26"/>
          <w:lang w:eastAsia="ru-RU"/>
        </w:rPr>
        <w:t xml:space="preserve"> 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електричної</w:t>
      </w:r>
      <w:r w:rsidRPr="00892215">
        <w:rPr>
          <w:rFonts w:ascii="Times New Roman" w:eastAsia="Times New Roman" w:hAnsi="Times New Roman" w:cs="Times New Roman"/>
          <w:spacing w:val="62"/>
          <w:sz w:val="26"/>
          <w:szCs w:val="26"/>
          <w:lang w:eastAsia="ru-RU"/>
        </w:rPr>
        <w:t xml:space="preserve"> 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потужності</w:t>
      </w:r>
      <w:r w:rsidRPr="00892215">
        <w:rPr>
          <w:rFonts w:ascii="Times New Roman" w:eastAsia="Times New Roman" w:hAnsi="Times New Roman" w:cs="Times New Roman"/>
          <w:spacing w:val="62"/>
          <w:sz w:val="26"/>
          <w:szCs w:val="26"/>
          <w:lang w:eastAsia="ru-RU"/>
        </w:rPr>
        <w:t xml:space="preserve"> 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побутовим</w:t>
      </w:r>
      <w:r w:rsidRPr="00892215">
        <w:rPr>
          <w:rFonts w:ascii="Times New Roman" w:eastAsia="Times New Roman" w:hAnsi="Times New Roman" w:cs="Times New Roman"/>
          <w:spacing w:val="62"/>
          <w:sz w:val="26"/>
          <w:szCs w:val="26"/>
          <w:lang w:eastAsia="ru-RU"/>
        </w:rPr>
        <w:t xml:space="preserve"> 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споживачам, та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безперебійним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електропостачанням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критично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важливих</w:t>
      </w:r>
      <w:r w:rsidRPr="0089221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об’єктів</w:t>
      </w:r>
      <w:r w:rsidRPr="008922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застосуванні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заходів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споживання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електричної</w:t>
      </w:r>
      <w:r w:rsidRPr="0089221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потужності, Міненерго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було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розроблено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Кабінету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Міністрів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r w:rsidRPr="00892215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 внесення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визначення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застосування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граничних</w:t>
      </w:r>
      <w:r w:rsidRPr="00892215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величин споживання електричної потужності».</w:t>
      </w:r>
    </w:p>
    <w:p w14:paraId="132353CE" w14:textId="222CF723" w:rsidR="00F24B0A" w:rsidRPr="00892215" w:rsidRDefault="00F24B0A" w:rsidP="00F24B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215">
        <w:rPr>
          <w:rFonts w:ascii="Times New Roman" w:hAnsi="Times New Roman" w:cs="Times New Roman"/>
          <w:sz w:val="26"/>
          <w:szCs w:val="26"/>
        </w:rPr>
        <w:t>Відповідну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постанову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Кабінету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Міністрів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України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«Про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внесення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змін</w:t>
      </w:r>
      <w:r w:rsidRPr="0089221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до Порядку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визначення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та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застосування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граничних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величин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споживання</w:t>
      </w:r>
      <w:r w:rsidRPr="0089221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92215">
        <w:rPr>
          <w:rFonts w:ascii="Times New Roman" w:hAnsi="Times New Roman" w:cs="Times New Roman"/>
          <w:sz w:val="26"/>
          <w:szCs w:val="26"/>
        </w:rPr>
        <w:t>електричної потужності» прийнято 25.07.2024 за № 856.</w:t>
      </w:r>
    </w:p>
    <w:p w14:paraId="697464A9" w14:textId="162AD6EB" w:rsidR="002913AD" w:rsidRPr="00892215" w:rsidRDefault="002913AD" w:rsidP="00301552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2215">
        <w:rPr>
          <w:rFonts w:ascii="Times New Roman" w:hAnsi="Times New Roman" w:cs="Times New Roman"/>
          <w:sz w:val="26"/>
          <w:szCs w:val="26"/>
        </w:rPr>
        <w:t xml:space="preserve">З урахуванням зазначеного учасники </w:t>
      </w:r>
      <w:r w:rsidR="008B69DC">
        <w:rPr>
          <w:rFonts w:ascii="Times New Roman" w:hAnsi="Times New Roman" w:cs="Times New Roman"/>
          <w:sz w:val="26"/>
          <w:szCs w:val="26"/>
        </w:rPr>
        <w:t xml:space="preserve">засідання </w:t>
      </w:r>
      <w:r w:rsidRPr="00892215">
        <w:rPr>
          <w:rFonts w:ascii="Times New Roman" w:hAnsi="Times New Roman" w:cs="Times New Roman"/>
          <w:sz w:val="26"/>
          <w:szCs w:val="26"/>
        </w:rPr>
        <w:t xml:space="preserve">АШ за підсумками </w:t>
      </w:r>
      <w:r w:rsidR="008B69DC">
        <w:rPr>
          <w:rFonts w:ascii="Times New Roman" w:hAnsi="Times New Roman" w:cs="Times New Roman"/>
          <w:sz w:val="26"/>
          <w:szCs w:val="26"/>
        </w:rPr>
        <w:t xml:space="preserve">розгляду </w:t>
      </w:r>
      <w:r w:rsidRPr="00892215">
        <w:rPr>
          <w:rFonts w:ascii="Times New Roman" w:hAnsi="Times New Roman" w:cs="Times New Roman"/>
          <w:sz w:val="26"/>
          <w:szCs w:val="26"/>
        </w:rPr>
        <w:t>вказали на гостру актуальність</w:t>
      </w:r>
      <w:r w:rsidR="008B69DC">
        <w:rPr>
          <w:rFonts w:ascii="Times New Roman" w:hAnsi="Times New Roman" w:cs="Times New Roman"/>
          <w:sz w:val="26"/>
          <w:szCs w:val="26"/>
        </w:rPr>
        <w:t>:</w:t>
      </w:r>
      <w:r w:rsidRPr="008922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7256B7" w14:textId="6774E429" w:rsidR="00F506CF" w:rsidRPr="00892215" w:rsidRDefault="00F506CF" w:rsidP="0089221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92215">
        <w:rPr>
          <w:rFonts w:ascii="Times New Roman" w:hAnsi="Times New Roman" w:cs="Times New Roman"/>
          <w:sz w:val="26"/>
          <w:szCs w:val="26"/>
        </w:rPr>
        <w:t xml:space="preserve">системного розв’язання проблем подолання наслідків критичних пошкоджень енергосистеми України та забезпечення координації дій на довготривалу перспективу, удосконалення технічного контролю та покращення прогнозної, </w:t>
      </w:r>
      <w:r w:rsidR="00E37E3A" w:rsidRPr="00892215">
        <w:rPr>
          <w:rFonts w:ascii="Times New Roman" w:hAnsi="Times New Roman" w:cs="Times New Roman"/>
          <w:sz w:val="26"/>
          <w:szCs w:val="26"/>
        </w:rPr>
        <w:t>науково-</w:t>
      </w:r>
      <w:r w:rsidRPr="00892215">
        <w:rPr>
          <w:rFonts w:ascii="Times New Roman" w:hAnsi="Times New Roman" w:cs="Times New Roman"/>
          <w:sz w:val="26"/>
          <w:szCs w:val="26"/>
        </w:rPr>
        <w:t>експертної складової</w:t>
      </w:r>
      <w:r w:rsidR="002913AD" w:rsidRPr="00892215">
        <w:rPr>
          <w:rFonts w:ascii="Times New Roman" w:hAnsi="Times New Roman" w:cs="Times New Roman"/>
          <w:sz w:val="26"/>
          <w:szCs w:val="26"/>
        </w:rPr>
        <w:t>, що передбачає посилення вертикалі контролю за реалізацією державної політики, зокрема</w:t>
      </w:r>
      <w:r w:rsidRPr="00892215">
        <w:rPr>
          <w:rFonts w:ascii="Times New Roman" w:hAnsi="Times New Roman" w:cs="Times New Roman"/>
          <w:sz w:val="26"/>
          <w:szCs w:val="26"/>
        </w:rPr>
        <w:t xml:space="preserve"> визначення  в Уряді відповідальної посади  високого рівня з наданням повноважень з формування пріоритетів  політики у енергетичній сфері</w:t>
      </w:r>
      <w:r w:rsidR="000F28E7">
        <w:rPr>
          <w:rFonts w:ascii="Times New Roman" w:hAnsi="Times New Roman" w:cs="Times New Roman"/>
          <w:sz w:val="26"/>
          <w:szCs w:val="26"/>
        </w:rPr>
        <w:t>,</w:t>
      </w:r>
      <w:r w:rsidRPr="008922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CD556" w14:textId="0A61F07C" w:rsidR="00865598" w:rsidRPr="00892215" w:rsidRDefault="00865598" w:rsidP="00892215">
      <w:pPr>
        <w:pStyle w:val="a5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92215">
        <w:rPr>
          <w:rFonts w:ascii="Times New Roman" w:hAnsi="Times New Roman" w:cs="Times New Roman"/>
          <w:sz w:val="26"/>
          <w:szCs w:val="26"/>
        </w:rPr>
        <w:lastRenderedPageBreak/>
        <w:t>забезпечення якісної підготовки національної економіки та, зокрема енергетичної системи, до роботи в осінньо-зимовий період 2024/25 року</w:t>
      </w:r>
      <w:r w:rsidR="00F506CF" w:rsidRPr="00892215">
        <w:rPr>
          <w:rFonts w:ascii="Times New Roman" w:hAnsi="Times New Roman" w:cs="Times New Roman"/>
          <w:sz w:val="26"/>
          <w:szCs w:val="26"/>
        </w:rPr>
        <w:t>, підготовки на основі аналізу потреб місцевих громад</w:t>
      </w:r>
      <w:r w:rsidR="00E37E3A" w:rsidRPr="00892215">
        <w:rPr>
          <w:rFonts w:ascii="Times New Roman" w:hAnsi="Times New Roman" w:cs="Times New Roman"/>
          <w:sz w:val="26"/>
          <w:szCs w:val="26"/>
        </w:rPr>
        <w:t xml:space="preserve">, окремих підприємств </w:t>
      </w:r>
      <w:r w:rsidR="00F506CF" w:rsidRPr="00892215">
        <w:rPr>
          <w:rFonts w:ascii="Times New Roman" w:hAnsi="Times New Roman" w:cs="Times New Roman"/>
          <w:sz w:val="26"/>
          <w:szCs w:val="26"/>
        </w:rPr>
        <w:t xml:space="preserve"> дорожньої карти реалізації проєктів з</w:t>
      </w:r>
      <w:r w:rsidR="00F506CF" w:rsidRPr="00892215">
        <w:rPr>
          <w:rFonts w:ascii="Times New Roman" w:hAnsi="Times New Roman" w:cs="Times New Roman"/>
          <w:color w:val="000000"/>
          <w:sz w:val="26"/>
          <w:szCs w:val="26"/>
        </w:rPr>
        <w:t xml:space="preserve"> формування </w:t>
      </w:r>
      <w:r w:rsidR="00F506CF" w:rsidRPr="00892215">
        <w:rPr>
          <w:rFonts w:ascii="Times New Roman" w:hAnsi="Times New Roman" w:cs="Times New Roman"/>
          <w:sz w:val="26"/>
          <w:szCs w:val="26"/>
          <w:lang w:eastAsia="uk-UA"/>
        </w:rPr>
        <w:t xml:space="preserve">децентралізованих енергетичних систем на базі малих систем розподілу, </w:t>
      </w:r>
      <w:r w:rsidR="00F506CF" w:rsidRPr="00892215">
        <w:rPr>
          <w:rFonts w:ascii="Times New Roman" w:hAnsi="Times New Roman" w:cs="Times New Roman"/>
          <w:color w:val="181716"/>
          <w:sz w:val="26"/>
          <w:szCs w:val="26"/>
          <w:lang w:eastAsia="uk-UA"/>
        </w:rPr>
        <w:t>розвитку відновлювальної енергетики</w:t>
      </w:r>
      <w:r w:rsidR="00F506CF" w:rsidRPr="00892215">
        <w:rPr>
          <w:rFonts w:ascii="Times New Roman" w:hAnsi="Times New Roman" w:cs="Times New Roman"/>
          <w:sz w:val="26"/>
          <w:szCs w:val="26"/>
        </w:rPr>
        <w:t xml:space="preserve"> тощо</w:t>
      </w:r>
      <w:r w:rsidR="000F28E7">
        <w:rPr>
          <w:rFonts w:ascii="Times New Roman" w:hAnsi="Times New Roman" w:cs="Times New Roman"/>
          <w:sz w:val="26"/>
          <w:szCs w:val="26"/>
        </w:rPr>
        <w:t>,</w:t>
      </w:r>
    </w:p>
    <w:p w14:paraId="26FB20DE" w14:textId="1EAE0514" w:rsidR="0068324B" w:rsidRPr="00892215" w:rsidRDefault="00EE4A5E" w:rsidP="00892215">
      <w:pPr>
        <w:pStyle w:val="a5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922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uk-UA"/>
        </w:rPr>
        <w:t xml:space="preserve">досягнення домовленостей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uk-UA"/>
        </w:rPr>
        <w:t> ENTSO-E — європейською мережею операторів системи передачі електроенергії  про збільшення квоти на імпорт</w:t>
      </w:r>
      <w:r w:rsidR="000F28E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14:paraId="523AC5E6" w14:textId="12E8FBAD" w:rsidR="00865598" w:rsidRPr="00892215" w:rsidRDefault="000F28E7" w:rsidP="00892215">
      <w:pPr>
        <w:pStyle w:val="a5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506CF" w:rsidRPr="00892215">
        <w:rPr>
          <w:rFonts w:ascii="Times New Roman" w:hAnsi="Times New Roman" w:cs="Times New Roman"/>
          <w:sz w:val="26"/>
          <w:szCs w:val="26"/>
        </w:rPr>
        <w:t xml:space="preserve">ормативного врегулювання </w:t>
      </w:r>
      <w:r w:rsidR="00865598" w:rsidRPr="00892215">
        <w:rPr>
          <w:rFonts w:ascii="Times New Roman" w:hAnsi="Times New Roman" w:cs="Times New Roman"/>
          <w:sz w:val="26"/>
          <w:szCs w:val="26"/>
        </w:rPr>
        <w:t xml:space="preserve">проблем, що створюють перешкоди при реалізації </w:t>
      </w:r>
      <w:r w:rsidR="00F506CF" w:rsidRPr="00892215">
        <w:rPr>
          <w:rFonts w:ascii="Times New Roman" w:hAnsi="Times New Roman" w:cs="Times New Roman"/>
          <w:sz w:val="26"/>
          <w:szCs w:val="26"/>
        </w:rPr>
        <w:t xml:space="preserve">суб’єктами підприємництва </w:t>
      </w:r>
      <w:r w:rsidR="00865598" w:rsidRPr="00892215">
        <w:rPr>
          <w:rFonts w:ascii="Times New Roman" w:hAnsi="Times New Roman" w:cs="Times New Roman"/>
          <w:sz w:val="26"/>
          <w:szCs w:val="26"/>
        </w:rPr>
        <w:t>програм з розвитку ВДЕ.</w:t>
      </w:r>
    </w:p>
    <w:p w14:paraId="18F06F54" w14:textId="77777777" w:rsidR="00392E72" w:rsidRDefault="00392E72" w:rsidP="0089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3B66DD" w14:textId="1B96811F" w:rsidR="00EE4A5E" w:rsidRPr="00892215" w:rsidRDefault="002913AD" w:rsidP="0089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215">
        <w:rPr>
          <w:rFonts w:ascii="Times New Roman" w:hAnsi="Times New Roman" w:cs="Times New Roman"/>
          <w:sz w:val="26"/>
          <w:szCs w:val="26"/>
        </w:rPr>
        <w:t xml:space="preserve">Бізнес висловлює занепокоєння з приводу </w:t>
      </w:r>
      <w:r w:rsidR="00EE4A5E" w:rsidRPr="00892215">
        <w:rPr>
          <w:rFonts w:ascii="Times New Roman" w:hAnsi="Times New Roman" w:cs="Times New Roman"/>
          <w:sz w:val="26"/>
          <w:szCs w:val="26"/>
        </w:rPr>
        <w:t xml:space="preserve"> </w:t>
      </w:r>
      <w:r w:rsidR="00E37E3A" w:rsidRPr="00892215">
        <w:rPr>
          <w:rFonts w:ascii="Times New Roman" w:hAnsi="Times New Roman" w:cs="Times New Roman"/>
          <w:sz w:val="26"/>
          <w:szCs w:val="26"/>
        </w:rPr>
        <w:t xml:space="preserve">недосконалого  регулювання </w:t>
      </w:r>
      <w:r w:rsidR="00EE4A5E" w:rsidRPr="00892215">
        <w:rPr>
          <w:rFonts w:ascii="Times New Roman" w:hAnsi="Times New Roman" w:cs="Times New Roman"/>
          <w:sz w:val="26"/>
          <w:szCs w:val="26"/>
        </w:rPr>
        <w:t xml:space="preserve">проблем, що створюють перешкоди при реалізації </w:t>
      </w:r>
      <w:r w:rsidR="00301552" w:rsidRPr="00892215">
        <w:rPr>
          <w:rFonts w:ascii="Times New Roman" w:hAnsi="Times New Roman" w:cs="Times New Roman"/>
          <w:sz w:val="26"/>
          <w:szCs w:val="26"/>
        </w:rPr>
        <w:t>суб’єктами підприємництва</w:t>
      </w:r>
      <w:r w:rsidR="00EE4A5E" w:rsidRPr="00892215">
        <w:rPr>
          <w:rFonts w:ascii="Times New Roman" w:hAnsi="Times New Roman" w:cs="Times New Roman"/>
          <w:sz w:val="26"/>
          <w:szCs w:val="26"/>
        </w:rPr>
        <w:t xml:space="preserve"> програм з розвитку ВДЕ</w:t>
      </w:r>
      <w:r w:rsidRPr="00892215">
        <w:rPr>
          <w:rFonts w:ascii="Times New Roman" w:hAnsi="Times New Roman" w:cs="Times New Roman"/>
          <w:sz w:val="26"/>
          <w:szCs w:val="26"/>
        </w:rPr>
        <w:t xml:space="preserve">, зокрема </w:t>
      </w:r>
      <w:r w:rsidR="00301552" w:rsidRPr="00892215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8922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забюрократизован</w:t>
      </w:r>
      <w:r w:rsidR="00301552"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ість</w:t>
      </w:r>
      <w:r w:rsidR="00294F9D"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 приєднання</w:t>
      </w:r>
      <w:r w:rsidR="00294F9D"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</w:t>
      </w: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фактично </w:t>
      </w:r>
      <w:r w:rsidR="008223A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ускладнюють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самостійне проходження процедури підприємством</w:t>
      </w:r>
      <w:r w:rsidR="00301552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яке </w:t>
      </w:r>
      <w:r w:rsidR="00E37E3A" w:rsidRPr="00892215">
        <w:rPr>
          <w:rFonts w:ascii="Times New Roman" w:hAnsi="Times New Roman" w:cs="Times New Roman"/>
          <w:sz w:val="26"/>
          <w:szCs w:val="26"/>
        </w:rPr>
        <w:t>встановлю</w:t>
      </w:r>
      <w:r w:rsidR="00C87A04" w:rsidRPr="00892215">
        <w:rPr>
          <w:rFonts w:ascii="Times New Roman" w:hAnsi="Times New Roman" w:cs="Times New Roman"/>
          <w:sz w:val="26"/>
          <w:szCs w:val="26"/>
        </w:rPr>
        <w:t>є</w:t>
      </w:r>
      <w:r w:rsidR="00E37E3A" w:rsidRPr="00892215">
        <w:rPr>
          <w:rFonts w:ascii="Times New Roman" w:hAnsi="Times New Roman" w:cs="Times New Roman"/>
          <w:sz w:val="26"/>
          <w:szCs w:val="26"/>
        </w:rPr>
        <w:t xml:space="preserve"> генеруючі</w:t>
      </w:r>
      <w:r w:rsidR="00C87A04" w:rsidRPr="00892215">
        <w:rPr>
          <w:rFonts w:ascii="Times New Roman" w:hAnsi="Times New Roman" w:cs="Times New Roman"/>
          <w:sz w:val="26"/>
          <w:szCs w:val="26"/>
        </w:rPr>
        <w:t xml:space="preserve"> </w:t>
      </w:r>
      <w:r w:rsidR="00E37E3A" w:rsidRPr="00892215">
        <w:rPr>
          <w:rFonts w:ascii="Times New Roman" w:hAnsi="Times New Roman" w:cs="Times New Roman"/>
          <w:sz w:val="26"/>
          <w:szCs w:val="26"/>
        </w:rPr>
        <w:t>установки з відновлюваних джерел енергії</w:t>
      </w:r>
      <w:r w:rsidR="000F28E7">
        <w:rPr>
          <w:rFonts w:ascii="Times New Roman" w:hAnsi="Times New Roman" w:cs="Times New Roman"/>
          <w:sz w:val="26"/>
          <w:szCs w:val="26"/>
        </w:rPr>
        <w:t>.</w:t>
      </w:r>
    </w:p>
    <w:p w14:paraId="09B4278A" w14:textId="77777777" w:rsidR="00262F1B" w:rsidRDefault="00262F1B" w:rsidP="00262F1B">
      <w:pPr>
        <w:spacing w:before="12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5D80B" w14:textId="5D6513C4" w:rsidR="00EE4A5E" w:rsidRPr="00392E72" w:rsidRDefault="00294F9D" w:rsidP="00262F1B">
      <w:pPr>
        <w:spacing w:before="12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Йдеться про такі чинники: </w:t>
      </w:r>
    </w:p>
    <w:p w14:paraId="569DFAD5" w14:textId="31BD3FFB" w:rsidR="00EE4A5E" w:rsidRPr="00892215" w:rsidRDefault="00EE4A5E" w:rsidP="00EE4A5E">
      <w:pPr>
        <w:numPr>
          <w:ilvl w:val="0"/>
          <w:numId w:val="15"/>
        </w:numPr>
        <w:spacing w:after="20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Нестабільність регуляторного середовища</w:t>
      </w:r>
      <w:r w:rsidR="00294F9D"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</w:t>
      </w: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підвищує ризики інвестора в умовах невизначеності.</w:t>
      </w:r>
      <w:r w:rsidRPr="008922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 квітня працює нова процедура приєднання,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 підприємці на містах продовжують працювати в умовах,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коли виконавці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Укренерго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бленерго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 не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визначитися з порядком ді</w:t>
      </w:r>
      <w:r w:rsidR="00301552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відповідно до нової процедури.</w:t>
      </w:r>
      <w:r w:rsidRPr="0089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FAD86" w14:textId="48F37DEA" w:rsidR="00EE4A5E" w:rsidRPr="00892215" w:rsidRDefault="00EE4A5E" w:rsidP="00262F1B">
      <w:pPr>
        <w:numPr>
          <w:ilvl w:val="0"/>
          <w:numId w:val="15"/>
        </w:numPr>
        <w:spacing w:after="120" w:line="25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E7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Штучні перешкоди, що встановлені нормативними актами,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розробленими до агресії рф, </w:t>
      </w:r>
      <w:r w:rsidR="00C87A0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урахування масштабів та наслідків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руйнування енергетичної системи країни та знищення балансуючих потужностей. Зазначені нормативні акти </w:t>
      </w:r>
      <w:r w:rsidR="00294F9D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наразі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відповідають </w:t>
      </w:r>
      <w:r w:rsidR="00294F9D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безпековій ситуації та </w:t>
      </w:r>
      <w:r w:rsidR="00C87A04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поточним </w:t>
      </w:r>
      <w:r w:rsidR="00294F9D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викликам </w:t>
      </w:r>
      <w:r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енергетиці України</w:t>
      </w:r>
      <w:r w:rsidR="00294F9D" w:rsidRPr="00892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230CAE4" w14:textId="5A974393" w:rsidR="00EE4A5E" w:rsidRPr="00892215" w:rsidRDefault="00EE4A5E" w:rsidP="00262F1B">
      <w:pPr>
        <w:pStyle w:val="a5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наявною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інформацію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12 числа кожного місяця Укренерго здійснює процедуру закриття місяця, внаслідок чого у цей період не здійснюється присвоєння активним споживачам EIC кодів для обліку генерації, без чого неможлива подальша процедура приєднання до мереж.</w:t>
      </w:r>
    </w:p>
    <w:p w14:paraId="64E4652B" w14:textId="3F33F2B6" w:rsidR="00EE4A5E" w:rsidRPr="00892215" w:rsidRDefault="00EE4A5E" w:rsidP="00892215">
      <w:pPr>
        <w:pStyle w:val="a5"/>
        <w:numPr>
          <w:ilvl w:val="0"/>
          <w:numId w:val="18"/>
        </w:numPr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Приєднання до електричних мереж. </w:t>
      </w:r>
      <w:r w:rsidR="00294F9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Посилаючись на чинність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«Правил роздрібного ринку електричної енергії», затверджених Постановою НКРЕ 14.03.2018  р. № 307, Обленерго пропонують почати виробництво електроенергії з першого календарного дня місяця. З урахуванням попереднього пункту це означає втрату інвестором </w:t>
      </w:r>
      <w:r w:rsidR="00A37BD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місяця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завершеному будівництві СЕС та жорсткому дефіциті електроенергії у країні, що воює.</w:t>
      </w:r>
    </w:p>
    <w:p w14:paraId="290A0262" w14:textId="5286FF68" w:rsidR="00EE4A5E" w:rsidRPr="00892215" w:rsidRDefault="00A37BDD" w:rsidP="00892215">
      <w:pPr>
        <w:pStyle w:val="a5"/>
        <w:numPr>
          <w:ilvl w:val="0"/>
          <w:numId w:val="18"/>
        </w:numPr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Штучне обмеження виробництва енергії з відновлювальних джерел в умовах наростаючого  дефіциту електроенергії</w:t>
      </w:r>
      <w:r w:rsidR="000F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E4A5E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Відповідно до Статті 9-6 Закону України «Про альтернативні джерела енергії»: «Дозволена до відпуску в мережу електрична потужність активного споживача за механізмом самовиробництва, включно з генеруючими установками та установками зберігання енергії третіх осіб, не може одночасно перевищувати 50 відсотків від величини дозволеної (договірної) потужності електроустановок такого споживача, що призначені для споживання електричної енергії». </w:t>
      </w:r>
      <w:r w:rsidR="006D279F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практиці, я</w:t>
      </w:r>
      <w:r w:rsidR="00EE4A5E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кщо власне споживання підприємства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знижується через об’єктивні обставини</w:t>
      </w:r>
      <w:r w:rsidR="00EE4A5E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(перерва в роботі важкого виробничого обладнання, вихідні), </w:t>
      </w:r>
      <w:r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втрачатиметься </w:t>
      </w:r>
      <w:r w:rsidR="00EE4A5E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20 відсотків добового видобування СЕС</w:t>
      </w:r>
      <w:r w:rsidR="00EE4A5E" w:rsidRPr="00892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1FD390E3" w14:textId="0C7303C3" w:rsidR="00EE4A5E" w:rsidRPr="00892215" w:rsidRDefault="000F28E7" w:rsidP="00892215">
      <w:pPr>
        <w:pStyle w:val="a5"/>
        <w:numPr>
          <w:ilvl w:val="0"/>
          <w:numId w:val="18"/>
        </w:numPr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Вважається</w:t>
      </w:r>
      <w:r w:rsidR="00A37BD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необґрунтованим та економічно недоцільним також </w:t>
      </w:r>
      <w:r w:rsidR="00EE4A5E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відключення виробника електроенергії від мережі в пік генерації. </w:t>
      </w:r>
      <w:r w:rsidR="00A37BD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(Особливістю підключення СЕС до мережі є те, </w:t>
      </w:r>
      <w:r w:rsidR="00A37BDD" w:rsidRPr="0089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що при відключенні світла в мережі здійснюється відключення СЕС та енергія в мережу не передається.)</w:t>
      </w:r>
    </w:p>
    <w:p w14:paraId="6D63A6F4" w14:textId="4C94A661" w:rsidR="00F31629" w:rsidRPr="00392E72" w:rsidRDefault="00892215" w:rsidP="00392E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  <w:lang w:eastAsia="uk-UA"/>
        </w:rPr>
      </w:pPr>
      <w:r w:rsidRPr="000F28E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Складності з фінансуванням</w:t>
      </w:r>
      <w:r w:rsidRPr="000F28E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392E7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Банківські установи вважають проєкти з ВДЕ такими, що мають високі ризики з реалізації. При цьому вони готові рефінансувати вже реалізовані проєкти, введені до експлуатації</w:t>
      </w:r>
      <w:r w:rsidR="00044E6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28CBC8AA" w14:textId="77777777" w:rsidR="00EE4A5E" w:rsidRPr="00892215" w:rsidRDefault="00EE4A5E" w:rsidP="0038170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  <w:lang w:eastAsia="uk-UA"/>
        </w:rPr>
      </w:pPr>
    </w:p>
    <w:p w14:paraId="14D5C398" w14:textId="739FEC41" w:rsidR="00DC05A4" w:rsidRPr="00892215" w:rsidRDefault="000F28E7" w:rsidP="00B12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У</w:t>
      </w:r>
      <w:r w:rsidR="00301552" w:rsidRPr="00892215">
        <w:rPr>
          <w:rFonts w:ascii="Times New Roman" w:hAnsi="Times New Roman" w:cs="Times New Roman"/>
          <w:sz w:val="26"/>
          <w:szCs w:val="28"/>
        </w:rPr>
        <w:t xml:space="preserve">часниками засідання </w:t>
      </w:r>
      <w:r w:rsidR="008B69DC">
        <w:rPr>
          <w:rFonts w:ascii="Times New Roman" w:hAnsi="Times New Roman" w:cs="Times New Roman"/>
          <w:sz w:val="26"/>
          <w:szCs w:val="28"/>
        </w:rPr>
        <w:t xml:space="preserve">Антикризового штабу стійкості економіки в умовах воєнного стану </w:t>
      </w:r>
      <w:r w:rsidR="00301552" w:rsidRPr="00892215">
        <w:rPr>
          <w:rFonts w:ascii="Times New Roman" w:hAnsi="Times New Roman" w:cs="Times New Roman"/>
          <w:sz w:val="26"/>
          <w:szCs w:val="28"/>
        </w:rPr>
        <w:t>пропонується</w:t>
      </w:r>
      <w:r w:rsidR="00DC05A4" w:rsidRPr="00892215">
        <w:rPr>
          <w:rFonts w:ascii="Times New Roman" w:hAnsi="Times New Roman" w:cs="Times New Roman"/>
          <w:sz w:val="26"/>
          <w:szCs w:val="28"/>
        </w:rPr>
        <w:t>:</w:t>
      </w:r>
    </w:p>
    <w:p w14:paraId="6CA765C2" w14:textId="77777777" w:rsidR="008F4B71" w:rsidRPr="00892215" w:rsidRDefault="008F4B71" w:rsidP="008F4B71">
      <w:pPr>
        <w:pStyle w:val="a5"/>
        <w:shd w:val="clear" w:color="auto" w:fill="FFFFFF"/>
        <w:spacing w:after="15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7A98F" w14:textId="31B5114C" w:rsidR="008F4B71" w:rsidRPr="008B69DC" w:rsidRDefault="008F4B71" w:rsidP="00CE440F">
      <w:pPr>
        <w:pStyle w:val="a5"/>
        <w:numPr>
          <w:ilvl w:val="3"/>
          <w:numId w:val="15"/>
        </w:numPr>
        <w:shd w:val="clear" w:color="auto" w:fill="FFFFFF"/>
        <w:spacing w:after="150" w:line="240" w:lineRule="auto"/>
        <w:ind w:left="851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8B69DC">
        <w:rPr>
          <w:rFonts w:ascii="Times New Roman" w:hAnsi="Times New Roman" w:cs="Times New Roman"/>
          <w:sz w:val="26"/>
          <w:szCs w:val="26"/>
        </w:rPr>
        <w:t xml:space="preserve">РНБО </w:t>
      </w:r>
    </w:p>
    <w:p w14:paraId="1D3EBDBF" w14:textId="0B13432C" w:rsidR="002A4489" w:rsidRPr="00262F1B" w:rsidRDefault="005F21F2" w:rsidP="00892215">
      <w:pPr>
        <w:pStyle w:val="a5"/>
        <w:shd w:val="clear" w:color="auto" w:fill="FFFFFF"/>
        <w:autoSpaceDE w:val="0"/>
        <w:autoSpaceDN w:val="0"/>
        <w:adjustRightInd w:val="0"/>
        <w:spacing w:after="15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0F28E7">
        <w:rPr>
          <w:rFonts w:ascii="Times New Roman" w:hAnsi="Times New Roman" w:cs="Times New Roman"/>
          <w:sz w:val="26"/>
          <w:szCs w:val="26"/>
        </w:rPr>
        <w:t xml:space="preserve"> </w:t>
      </w:r>
      <w:r w:rsidR="00301552" w:rsidRPr="005F21F2">
        <w:rPr>
          <w:rFonts w:ascii="Times New Roman" w:hAnsi="Times New Roman" w:cs="Times New Roman"/>
          <w:sz w:val="26"/>
          <w:szCs w:val="26"/>
        </w:rPr>
        <w:t xml:space="preserve">За результатами аналізу </w:t>
      </w:r>
      <w:r w:rsidR="008F4B71" w:rsidRPr="005F21F2">
        <w:rPr>
          <w:rFonts w:ascii="Times New Roman" w:hAnsi="Times New Roman" w:cs="Times New Roman"/>
          <w:sz w:val="26"/>
          <w:szCs w:val="26"/>
        </w:rPr>
        <w:t xml:space="preserve">стану </w:t>
      </w:r>
      <w:r w:rsidR="00301552" w:rsidRPr="005F21F2">
        <w:rPr>
          <w:rFonts w:ascii="Times New Roman" w:hAnsi="Times New Roman" w:cs="Times New Roman"/>
          <w:sz w:val="26"/>
          <w:szCs w:val="26"/>
        </w:rPr>
        <w:t xml:space="preserve">виконання завдань, визначених в </w:t>
      </w:r>
      <w:r w:rsidR="00301552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</w:t>
      </w:r>
      <w:r w:rsidR="008F4B71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301552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</w:t>
      </w:r>
      <w:r w:rsidR="00301552" w:rsidRPr="00262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національної безпеки і оборони України від 17 жовтня 2023 року «Про організацію захисту та забезпечення безпеки функціонування об’єктів критичної інфраструктури та енергетики України в умовах ведення воєнних дій», уведеного в дію Указом Президента України від 17 жовтня 2023 року № 695</w:t>
      </w:r>
      <w:r w:rsidR="000F28E7" w:rsidRPr="00262F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4B71" w:rsidRPr="00262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вжити додаткових заходів із забезпечення стійкості </w:t>
      </w:r>
      <w:r w:rsidR="008F4B71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енергетичної інфраструктури</w:t>
      </w:r>
      <w:r w:rsidR="00301552" w:rsidRPr="00262F1B">
        <w:rPr>
          <w:rFonts w:ascii="Times New Roman" w:hAnsi="Times New Roman" w:cs="Times New Roman"/>
          <w:sz w:val="26"/>
          <w:szCs w:val="26"/>
        </w:rPr>
        <w:t xml:space="preserve"> України </w:t>
      </w:r>
      <w:r w:rsidR="008F4B71" w:rsidRPr="00262F1B">
        <w:rPr>
          <w:rFonts w:ascii="Times New Roman" w:hAnsi="Times New Roman" w:cs="Times New Roman"/>
          <w:sz w:val="26"/>
          <w:szCs w:val="26"/>
        </w:rPr>
        <w:t xml:space="preserve">в умовах підготовки до </w:t>
      </w:r>
      <w:r w:rsidR="00301552" w:rsidRPr="00262F1B">
        <w:rPr>
          <w:rFonts w:ascii="Times New Roman" w:hAnsi="Times New Roman" w:cs="Times New Roman"/>
          <w:sz w:val="26"/>
          <w:szCs w:val="26"/>
        </w:rPr>
        <w:t>осінньо-зимового періоду 2024/25 року та його проходження</w:t>
      </w:r>
      <w:r w:rsidR="008F4B71" w:rsidRPr="00262F1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A7E36C" w14:textId="59376416" w:rsidR="0098226D" w:rsidRPr="00262F1B" w:rsidRDefault="00CE440F" w:rsidP="002A44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F1B">
        <w:rPr>
          <w:rFonts w:ascii="Times New Roman" w:hAnsi="Times New Roman" w:cs="Times New Roman"/>
          <w:sz w:val="26"/>
          <w:szCs w:val="26"/>
        </w:rPr>
        <w:t xml:space="preserve">1.2 </w:t>
      </w:r>
      <w:r w:rsidR="000F28E7" w:rsidRPr="00262F1B">
        <w:rPr>
          <w:rFonts w:ascii="Times New Roman" w:hAnsi="Times New Roman" w:cs="Times New Roman"/>
          <w:sz w:val="26"/>
          <w:szCs w:val="26"/>
        </w:rPr>
        <w:t xml:space="preserve"> </w:t>
      </w:r>
      <w:r w:rsidR="00C87A04" w:rsidRPr="00262F1B">
        <w:rPr>
          <w:rFonts w:ascii="Times New Roman" w:hAnsi="Times New Roman" w:cs="Times New Roman"/>
          <w:sz w:val="26"/>
          <w:szCs w:val="26"/>
        </w:rPr>
        <w:t xml:space="preserve">Врахувати </w:t>
      </w:r>
      <w:r w:rsidR="008F4B71" w:rsidRPr="00262F1B">
        <w:rPr>
          <w:rFonts w:ascii="Times New Roman" w:hAnsi="Times New Roman" w:cs="Times New Roman"/>
          <w:sz w:val="26"/>
          <w:szCs w:val="26"/>
        </w:rPr>
        <w:t xml:space="preserve">пропозиції АШ щодо підвищення енергетичної стійкості в рамках </w:t>
      </w:r>
      <w:r w:rsidR="00CD16BC" w:rsidRPr="00262F1B">
        <w:rPr>
          <w:rFonts w:ascii="Times New Roman" w:hAnsi="Times New Roman" w:cs="Times New Roman"/>
          <w:sz w:val="26"/>
          <w:szCs w:val="26"/>
        </w:rPr>
        <w:t xml:space="preserve">участі представників АШ  у </w:t>
      </w:r>
      <w:r w:rsidR="008F4B71" w:rsidRPr="00262F1B">
        <w:rPr>
          <w:rFonts w:ascii="Times New Roman" w:hAnsi="Times New Roman" w:cs="Times New Roman"/>
          <w:sz w:val="26"/>
          <w:szCs w:val="26"/>
        </w:rPr>
        <w:t>діяльності робочої групи з підготовки матеріалів  рішення РНБО з питання додаткових заходів із забезпечення стійкості територіальних  громад в особливий період</w:t>
      </w:r>
      <w:r w:rsidR="0098226D" w:rsidRPr="00262F1B">
        <w:rPr>
          <w:rFonts w:ascii="Times New Roman" w:hAnsi="Times New Roman" w:cs="Times New Roman"/>
          <w:sz w:val="26"/>
          <w:szCs w:val="26"/>
        </w:rPr>
        <w:t>, які мають передбачати</w:t>
      </w:r>
      <w:r w:rsidR="008B69DC">
        <w:rPr>
          <w:rFonts w:ascii="Times New Roman" w:hAnsi="Times New Roman" w:cs="Times New Roman"/>
          <w:sz w:val="26"/>
          <w:szCs w:val="26"/>
        </w:rPr>
        <w:t>:</w:t>
      </w:r>
      <w:r w:rsidR="0098226D" w:rsidRPr="00262F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9EC473" w14:textId="77777777" w:rsidR="0098226D" w:rsidRPr="00262F1B" w:rsidRDefault="0098226D" w:rsidP="002A44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F1B">
        <w:rPr>
          <w:rFonts w:ascii="Times New Roman" w:hAnsi="Times New Roman" w:cs="Times New Roman"/>
          <w:sz w:val="26"/>
          <w:szCs w:val="26"/>
        </w:rPr>
        <w:t xml:space="preserve">розвиток у територіальних громадах децентралізованого комбінованого енергозабезпечення,  </w:t>
      </w:r>
    </w:p>
    <w:p w14:paraId="6E0CEB12" w14:textId="3D077E2D" w:rsidR="0098226D" w:rsidRPr="00262F1B" w:rsidRDefault="0098226D" w:rsidP="002A44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F1B">
        <w:rPr>
          <w:rFonts w:ascii="Times New Roman" w:hAnsi="Times New Roman" w:cs="Times New Roman"/>
          <w:sz w:val="26"/>
          <w:szCs w:val="26"/>
        </w:rPr>
        <w:t>спрощення процедур їх приєднання до існуючих мереж та доступу до первинного місцевого палива</w:t>
      </w:r>
      <w:r w:rsidR="008B69DC">
        <w:rPr>
          <w:rFonts w:ascii="Times New Roman" w:hAnsi="Times New Roman" w:cs="Times New Roman"/>
          <w:sz w:val="26"/>
          <w:szCs w:val="26"/>
        </w:rPr>
        <w:t>,</w:t>
      </w:r>
      <w:r w:rsidRPr="00262F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C4AB45" w14:textId="63806A8C" w:rsidR="008F4B71" w:rsidRPr="00262F1B" w:rsidRDefault="0098226D" w:rsidP="002A44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F1B">
        <w:rPr>
          <w:rFonts w:ascii="Times New Roman" w:hAnsi="Times New Roman" w:cs="Times New Roman"/>
          <w:sz w:val="26"/>
          <w:szCs w:val="26"/>
        </w:rPr>
        <w:t xml:space="preserve">фінансування розроблення та реалізації проєктів комбінованих мікроенергосистем територіальних громад з децентралізованими джерелами енергії, що дозволить прискорити інсталяцію наявного генеруючого обладнання та установок. </w:t>
      </w:r>
    </w:p>
    <w:p w14:paraId="5E9BE927" w14:textId="77E4707A" w:rsidR="00456061" w:rsidRPr="00CE440F" w:rsidRDefault="008B2317" w:rsidP="00262F1B">
      <w:pPr>
        <w:pStyle w:val="a5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9DC">
        <w:rPr>
          <w:rFonts w:ascii="Times New Roman" w:hAnsi="Times New Roman" w:cs="Times New Roman"/>
          <w:bCs/>
          <w:sz w:val="26"/>
          <w:szCs w:val="26"/>
        </w:rPr>
        <w:t>К</w:t>
      </w:r>
      <w:r w:rsidR="008B69DC" w:rsidRPr="008B69DC">
        <w:rPr>
          <w:rFonts w:ascii="Times New Roman" w:hAnsi="Times New Roman" w:cs="Times New Roman"/>
          <w:bCs/>
          <w:sz w:val="26"/>
          <w:szCs w:val="26"/>
        </w:rPr>
        <w:t>абінету Міністрів України</w:t>
      </w:r>
      <w:r w:rsidRPr="00CE4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26D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спільно з місцевими органами влади</w:t>
      </w:r>
      <w:r w:rsid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9822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участ</w:t>
      </w:r>
      <w:r w:rsid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ю</w:t>
      </w:r>
      <w:r w:rsidR="009822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органів місцевого самоврядування </w:t>
      </w:r>
    </w:p>
    <w:p w14:paraId="7E2B9A7F" w14:textId="0781E05B" w:rsidR="00F85D06" w:rsidRPr="00262F1B" w:rsidRDefault="00F85D06" w:rsidP="0098226D">
      <w:pPr>
        <w:pStyle w:val="a5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підгот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увати 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комплексн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дорожн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ю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карту 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з визначенням пріоритетів та норм проєктування у ході реалізації проєктів з формування децентралізованих енергетичних систем на базі малих систем розподілу на основі прозорості використання коштів міжнародних партнерів, забезпечення фахової експлуатації придбаних установок з розподіленої генерації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урахування споживчих потреб територіальних громад, особливостей розвитку територій, ресурсного забезпечення, підготовки кваліфікованого персоналу  </w:t>
      </w:r>
      <w:r w:rsidR="0098226D"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проектувальників, фахівців з обслуговування </w:t>
      </w:r>
      <w:r w:rsidR="0098226D" w:rsidRPr="00262F1B">
        <w:rPr>
          <w:rFonts w:ascii="Times New Roman" w:hAnsi="Times New Roman" w:cs="Times New Roman"/>
          <w:sz w:val="26"/>
          <w:szCs w:val="26"/>
        </w:rPr>
        <w:t xml:space="preserve">газопоршневих та газотурбінних станцій, когенераційних установок, систем промислового накопичення електроенергії, а також </w:t>
      </w:r>
      <w:r w:rsidRPr="00262F1B">
        <w:rPr>
          <w:rFonts w:ascii="Times New Roman" w:eastAsia="Times New Roman" w:hAnsi="Times New Roman" w:cs="Times New Roman"/>
          <w:sz w:val="26"/>
          <w:szCs w:val="26"/>
          <w:lang w:eastAsia="uk-UA"/>
        </w:rPr>
        <w:t>науково-експертного  супроводження процесу забезпечення сумісності технологій комбінованого енергозабезпечення.</w:t>
      </w:r>
    </w:p>
    <w:p w14:paraId="4E11FF35" w14:textId="1FA8683F" w:rsidR="00CB7DBB" w:rsidRPr="005F21F2" w:rsidRDefault="00CB7DBB" w:rsidP="00CE440F">
      <w:pPr>
        <w:pStyle w:val="a5"/>
        <w:numPr>
          <w:ilvl w:val="3"/>
          <w:numId w:val="15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спрощення процедур приєднання виробників електроенергії з ВДЕ (у тому числі – суб’єктів приватної власності) </w:t>
      </w:r>
      <w:r w:rsidR="00F8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абінету Міністрів України </w:t>
      </w:r>
      <w:r w:rsidR="00F8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опрацювати питання та внести необхідні зміни щодо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3786900" w14:textId="06AFD8BB" w:rsidR="00CB7DBB" w:rsidRPr="00CB7DBB" w:rsidRDefault="00CE440F" w:rsidP="00892215">
      <w:pPr>
        <w:spacing w:after="20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Оптиміз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ації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внутрішні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виробників електроенергії з ВДЕ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скорочення терміну підключення.</w:t>
      </w:r>
    </w:p>
    <w:p w14:paraId="5D60E92F" w14:textId="41A97B01" w:rsidR="00CB7DBB" w:rsidRPr="00CB7DBB" w:rsidRDefault="00CE440F" w:rsidP="00892215">
      <w:pPr>
        <w:spacing w:after="20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Знят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тя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період дії 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особливого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стану в енергетиці України обмеження на передачу в мережу електроенергії в розмірі 50% від заявленої потужності.</w:t>
      </w:r>
    </w:p>
    <w:p w14:paraId="69DE9526" w14:textId="6AC6D931" w:rsidR="00CB7DBB" w:rsidRPr="00CB7DBB" w:rsidRDefault="00CE440F" w:rsidP="00892215">
      <w:pPr>
        <w:spacing w:after="20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E09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тя спільно із місцеви</w:t>
      </w:r>
      <w:r w:rsidR="00077EB0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D55737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DBB" w:rsidRPr="005F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влади </w:t>
      </w:r>
      <w:r w:rsidR="00CB7DBB" w:rsidRPr="00CB7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необхідних заходів щодо включення виробників електроенергії з ВДЕ до переліку критично важливих об'єктів (з подальшим надсиланням такого переліку оператору системи передачі та операторам систем розподілу) з метою забезпечення пріоритетного електропостачання, безперебійної роботи підприємств та генерації ВДЕ, що, у свою чергу, забезпечить економіку України додатковими обсягами електроенергії.</w:t>
      </w:r>
    </w:p>
    <w:p w14:paraId="4D9BE94C" w14:textId="164AA00C" w:rsidR="00053351" w:rsidRPr="005F21F2" w:rsidRDefault="00CE440F" w:rsidP="00053351">
      <w:pPr>
        <w:shd w:val="clear" w:color="auto" w:fill="FFFFFF"/>
        <w:spacing w:before="120" w:after="12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bookmarkStart w:id="3" w:name="_Hlk176431434"/>
      <w:r w:rsidR="00053351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диверсифікації джерел ресурсного забезпечення процесу відновлення різних секторів економіки, зокрема, паливно-енергетичного комплексу </w:t>
      </w:r>
      <w:r w:rsidR="0084666C">
        <w:rPr>
          <w:rFonts w:ascii="Times New Roman" w:eastAsia="Times New Roman" w:hAnsi="Times New Roman" w:cs="Times New Roman"/>
          <w:sz w:val="26"/>
          <w:szCs w:val="26"/>
          <w:lang w:eastAsia="uk-UA"/>
        </w:rPr>
        <w:t>внаслідок російської агресії проти України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F6B2739" w14:textId="2CB4270B" w:rsidR="00053351" w:rsidRPr="005F21F2" w:rsidRDefault="00053351" w:rsidP="00053351">
      <w:pPr>
        <w:shd w:val="clear" w:color="auto" w:fill="FFFFFF"/>
        <w:spacing w:before="120" w:after="12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="008B69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абінету Міністрів України 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із залученням НК</w:t>
      </w:r>
      <w:r w:rsidR="008223A0">
        <w:rPr>
          <w:rFonts w:ascii="Times New Roman" w:eastAsia="Times New Roman" w:hAnsi="Times New Roman" w:cs="Times New Roman"/>
          <w:sz w:val="26"/>
          <w:szCs w:val="26"/>
          <w:lang w:eastAsia="uk-UA"/>
        </w:rPr>
        <w:t>ЦПФР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правоохоронних органів, Генпрокуратури,  НАНУ, місцевих територіальних громад, структурованих об’єднань бізнесу  </w:t>
      </w:r>
      <w:r w:rsidR="000F28E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організувати проведення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0F28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тематичного 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</w:t>
      </w:r>
      <w:r w:rsidR="000F28E7"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="000F28E7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розгляду </w:t>
      </w:r>
      <w:r w:rsidR="00F85D06">
        <w:rPr>
          <w:rFonts w:ascii="Times New Roman" w:eastAsia="Times New Roman" w:hAnsi="Times New Roman" w:cs="Times New Roman"/>
          <w:sz w:val="26"/>
          <w:szCs w:val="26"/>
          <w:lang w:eastAsia="uk-UA"/>
        </w:rPr>
        <w:t>питання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використання 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сформованого 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ліквідного 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права вимоги на відшкодування шкоди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нанесеної з боку рф та її союзників українським суб’єктам підприємництва, територіальним громадам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як немайнового активу</w:t>
      </w:r>
      <w:r w:rsidR="00892215" w:rsidRPr="005F21F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bookmarkEnd w:id="3"/>
    <w:p w14:paraId="67C62756" w14:textId="5CCC83B5" w:rsidR="00053351" w:rsidRPr="005F21F2" w:rsidRDefault="00053351" w:rsidP="00E076F4">
      <w:pPr>
        <w:shd w:val="clear" w:color="auto" w:fill="FFFFFF"/>
        <w:spacing w:before="120" w:after="12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6658E1B" w14:textId="77777777" w:rsidR="00A83E09" w:rsidRPr="00892215" w:rsidRDefault="00A83E09" w:rsidP="00E076F4">
      <w:pPr>
        <w:shd w:val="clear" w:color="auto" w:fill="FFFFFF"/>
        <w:spacing w:before="120" w:after="12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B169FB" w14:textId="4BC00077" w:rsidR="00E076F4" w:rsidRPr="00262F1B" w:rsidRDefault="00E076F4" w:rsidP="00E076F4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_Hlk165554780"/>
      <w:r w:rsidRPr="00262F1B">
        <w:rPr>
          <w:rFonts w:ascii="Times New Roman" w:hAnsi="Times New Roman" w:cs="Times New Roman"/>
          <w:b/>
          <w:sz w:val="26"/>
          <w:szCs w:val="26"/>
        </w:rPr>
        <w:t xml:space="preserve">Президент УСПП, </w:t>
      </w:r>
    </w:p>
    <w:p w14:paraId="133B9309" w14:textId="77777777" w:rsidR="00E076F4" w:rsidRPr="00262F1B" w:rsidRDefault="00E076F4" w:rsidP="00E076F4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F1B">
        <w:rPr>
          <w:rFonts w:ascii="Times New Roman" w:hAnsi="Times New Roman" w:cs="Times New Roman"/>
          <w:b/>
          <w:sz w:val="26"/>
          <w:szCs w:val="26"/>
        </w:rPr>
        <w:t xml:space="preserve">Співголова Національної тристоронньої </w:t>
      </w:r>
    </w:p>
    <w:p w14:paraId="4ABD5100" w14:textId="176FA19A" w:rsidR="00E076F4" w:rsidRPr="00262F1B" w:rsidRDefault="00E076F4" w:rsidP="00E076F4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F1B">
        <w:rPr>
          <w:rFonts w:ascii="Times New Roman" w:hAnsi="Times New Roman" w:cs="Times New Roman"/>
          <w:b/>
          <w:sz w:val="26"/>
          <w:szCs w:val="26"/>
        </w:rPr>
        <w:t>соціально-економічної ради</w:t>
      </w:r>
      <w:r w:rsidRPr="00262F1B">
        <w:rPr>
          <w:rFonts w:ascii="Times New Roman" w:hAnsi="Times New Roman" w:cs="Times New Roman"/>
          <w:b/>
          <w:sz w:val="26"/>
          <w:szCs w:val="26"/>
        </w:rPr>
        <w:tab/>
      </w:r>
      <w:r w:rsidRPr="00262F1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262F1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262F1B">
        <w:rPr>
          <w:rFonts w:ascii="Times New Roman" w:hAnsi="Times New Roman" w:cs="Times New Roman"/>
          <w:b/>
          <w:sz w:val="26"/>
          <w:szCs w:val="26"/>
        </w:rPr>
        <w:tab/>
      </w:r>
      <w:r w:rsidRPr="00262F1B">
        <w:rPr>
          <w:rFonts w:ascii="Times New Roman" w:hAnsi="Times New Roman" w:cs="Times New Roman"/>
          <w:b/>
          <w:sz w:val="26"/>
          <w:szCs w:val="26"/>
        </w:rPr>
        <w:tab/>
      </w:r>
      <w:r w:rsidR="001E50C4" w:rsidRPr="00262F1B">
        <w:rPr>
          <w:rFonts w:ascii="Times New Roman" w:hAnsi="Times New Roman" w:cs="Times New Roman"/>
          <w:b/>
          <w:sz w:val="26"/>
          <w:szCs w:val="26"/>
        </w:rPr>
        <w:tab/>
      </w:r>
      <w:r w:rsidR="00262F1B">
        <w:rPr>
          <w:rFonts w:ascii="Times New Roman" w:hAnsi="Times New Roman" w:cs="Times New Roman"/>
          <w:b/>
          <w:sz w:val="26"/>
          <w:szCs w:val="26"/>
        </w:rPr>
        <w:tab/>
      </w:r>
      <w:r w:rsidRPr="00262F1B">
        <w:rPr>
          <w:rFonts w:ascii="Times New Roman" w:hAnsi="Times New Roman" w:cs="Times New Roman"/>
          <w:b/>
          <w:sz w:val="26"/>
          <w:szCs w:val="26"/>
        </w:rPr>
        <w:tab/>
        <w:t>А.К.Кінах</w:t>
      </w:r>
      <w:bookmarkEnd w:id="4"/>
    </w:p>
    <w:p w14:paraId="01C3AC30" w14:textId="77777777" w:rsidR="00E076F4" w:rsidRPr="00262F1B" w:rsidRDefault="00E076F4" w:rsidP="00443A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</w:pPr>
    </w:p>
    <w:sectPr w:rsidR="00E076F4" w:rsidRPr="00262F1B" w:rsidSect="001F461C">
      <w:headerReference w:type="default" r:id="rId8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56E8" w14:textId="77777777" w:rsidR="00DB792E" w:rsidRDefault="00DB792E" w:rsidP="00443A04">
      <w:pPr>
        <w:spacing w:after="0" w:line="240" w:lineRule="auto"/>
      </w:pPr>
      <w:r>
        <w:separator/>
      </w:r>
    </w:p>
  </w:endnote>
  <w:endnote w:type="continuationSeparator" w:id="0">
    <w:p w14:paraId="1A9D6F5A" w14:textId="77777777" w:rsidR="00DB792E" w:rsidRDefault="00DB792E" w:rsidP="0044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6AC2" w14:textId="77777777" w:rsidR="00DB792E" w:rsidRDefault="00DB792E" w:rsidP="00443A04">
      <w:pPr>
        <w:spacing w:after="0" w:line="240" w:lineRule="auto"/>
      </w:pPr>
      <w:r>
        <w:separator/>
      </w:r>
    </w:p>
  </w:footnote>
  <w:footnote w:type="continuationSeparator" w:id="0">
    <w:p w14:paraId="41717808" w14:textId="77777777" w:rsidR="00DB792E" w:rsidRDefault="00DB792E" w:rsidP="0044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19375"/>
      <w:docPartObj>
        <w:docPartGallery w:val="Page Numbers (Top of Page)"/>
        <w:docPartUnique/>
      </w:docPartObj>
    </w:sdtPr>
    <w:sdtEndPr/>
    <w:sdtContent>
      <w:p w14:paraId="582461E8" w14:textId="7FB0BB62" w:rsidR="001F461C" w:rsidRDefault="001F46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B2141" w14:textId="77777777" w:rsidR="00E076F4" w:rsidRDefault="00E076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B3"/>
    <w:multiLevelType w:val="multilevel"/>
    <w:tmpl w:val="6B9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AA6"/>
    <w:multiLevelType w:val="hybridMultilevel"/>
    <w:tmpl w:val="1FBE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1F8D3A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1E32"/>
    <w:multiLevelType w:val="hybridMultilevel"/>
    <w:tmpl w:val="65FE3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973"/>
    <w:multiLevelType w:val="hybridMultilevel"/>
    <w:tmpl w:val="2C004822"/>
    <w:lvl w:ilvl="0" w:tplc="AAC2678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483A3A"/>
    <w:multiLevelType w:val="multilevel"/>
    <w:tmpl w:val="F75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7746"/>
    <w:multiLevelType w:val="multilevel"/>
    <w:tmpl w:val="F32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D7E02"/>
    <w:multiLevelType w:val="hybridMultilevel"/>
    <w:tmpl w:val="E5E2B2C0"/>
    <w:lvl w:ilvl="0" w:tplc="46FCB0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5BB00F2"/>
    <w:multiLevelType w:val="hybridMultilevel"/>
    <w:tmpl w:val="2EBC3848"/>
    <w:lvl w:ilvl="0" w:tplc="7264CA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57CC"/>
    <w:multiLevelType w:val="hybridMultilevel"/>
    <w:tmpl w:val="A7BA1F7A"/>
    <w:lvl w:ilvl="0" w:tplc="D61A5B88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  <w:b w:val="0"/>
        <w:bCs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EBA1DBD"/>
    <w:multiLevelType w:val="hybridMultilevel"/>
    <w:tmpl w:val="B058CB80"/>
    <w:lvl w:ilvl="0" w:tplc="4FAE5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307"/>
    <w:multiLevelType w:val="hybridMultilevel"/>
    <w:tmpl w:val="47BA30F4"/>
    <w:lvl w:ilvl="0" w:tplc="54A4697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B814E59"/>
    <w:multiLevelType w:val="hybridMultilevel"/>
    <w:tmpl w:val="A6B275C0"/>
    <w:lvl w:ilvl="0" w:tplc="367E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F86575"/>
    <w:multiLevelType w:val="hybridMultilevel"/>
    <w:tmpl w:val="8558F04A"/>
    <w:lvl w:ilvl="0" w:tplc="584CC762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1EF179D"/>
    <w:multiLevelType w:val="hybridMultilevel"/>
    <w:tmpl w:val="C0B4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3A7"/>
    <w:multiLevelType w:val="multilevel"/>
    <w:tmpl w:val="B31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71DAC"/>
    <w:multiLevelType w:val="hybridMultilevel"/>
    <w:tmpl w:val="318657DE"/>
    <w:lvl w:ilvl="0" w:tplc="4FAE5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B10B6"/>
    <w:multiLevelType w:val="multilevel"/>
    <w:tmpl w:val="87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B35BE"/>
    <w:multiLevelType w:val="hybridMultilevel"/>
    <w:tmpl w:val="E0B2A2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04A62"/>
    <w:multiLevelType w:val="hybridMultilevel"/>
    <w:tmpl w:val="CD70E360"/>
    <w:lvl w:ilvl="0" w:tplc="584CE7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8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77"/>
    <w:rsid w:val="00001457"/>
    <w:rsid w:val="000139AE"/>
    <w:rsid w:val="00016607"/>
    <w:rsid w:val="00044E69"/>
    <w:rsid w:val="000453B4"/>
    <w:rsid w:val="00046DE2"/>
    <w:rsid w:val="00053351"/>
    <w:rsid w:val="00077EB0"/>
    <w:rsid w:val="0008674D"/>
    <w:rsid w:val="000F28E7"/>
    <w:rsid w:val="001304CD"/>
    <w:rsid w:val="00147600"/>
    <w:rsid w:val="00171A45"/>
    <w:rsid w:val="00197E18"/>
    <w:rsid w:val="001C3E66"/>
    <w:rsid w:val="001D31FB"/>
    <w:rsid w:val="001E50C4"/>
    <w:rsid w:val="001F461C"/>
    <w:rsid w:val="00213099"/>
    <w:rsid w:val="00250563"/>
    <w:rsid w:val="00262F1B"/>
    <w:rsid w:val="002913AD"/>
    <w:rsid w:val="00294F9D"/>
    <w:rsid w:val="002A4362"/>
    <w:rsid w:val="002A43BB"/>
    <w:rsid w:val="002A4489"/>
    <w:rsid w:val="002E34B7"/>
    <w:rsid w:val="00301552"/>
    <w:rsid w:val="00305C13"/>
    <w:rsid w:val="0031298D"/>
    <w:rsid w:val="00324B1E"/>
    <w:rsid w:val="00381707"/>
    <w:rsid w:val="00383724"/>
    <w:rsid w:val="00392E72"/>
    <w:rsid w:val="003B0AD3"/>
    <w:rsid w:val="00443A04"/>
    <w:rsid w:val="00456061"/>
    <w:rsid w:val="004B6585"/>
    <w:rsid w:val="005A1FE0"/>
    <w:rsid w:val="005C15D6"/>
    <w:rsid w:val="005C1DFB"/>
    <w:rsid w:val="005C2DDB"/>
    <w:rsid w:val="005D7B59"/>
    <w:rsid w:val="005F21F2"/>
    <w:rsid w:val="0060746B"/>
    <w:rsid w:val="00653A6B"/>
    <w:rsid w:val="0068324B"/>
    <w:rsid w:val="006A09F7"/>
    <w:rsid w:val="006D279F"/>
    <w:rsid w:val="006E1133"/>
    <w:rsid w:val="007528D6"/>
    <w:rsid w:val="008223A0"/>
    <w:rsid w:val="00824117"/>
    <w:rsid w:val="0084666C"/>
    <w:rsid w:val="00865598"/>
    <w:rsid w:val="00892215"/>
    <w:rsid w:val="008B2317"/>
    <w:rsid w:val="008B69DC"/>
    <w:rsid w:val="008D1354"/>
    <w:rsid w:val="008F4B71"/>
    <w:rsid w:val="00937FFA"/>
    <w:rsid w:val="009561AB"/>
    <w:rsid w:val="0098226D"/>
    <w:rsid w:val="009A3E79"/>
    <w:rsid w:val="00A37BDD"/>
    <w:rsid w:val="00A67D96"/>
    <w:rsid w:val="00A83E09"/>
    <w:rsid w:val="00B1237C"/>
    <w:rsid w:val="00B479B9"/>
    <w:rsid w:val="00B52E63"/>
    <w:rsid w:val="00B57473"/>
    <w:rsid w:val="00B83DCF"/>
    <w:rsid w:val="00B95A80"/>
    <w:rsid w:val="00BA12EB"/>
    <w:rsid w:val="00BA6FEF"/>
    <w:rsid w:val="00BD3DAD"/>
    <w:rsid w:val="00C42977"/>
    <w:rsid w:val="00C549F3"/>
    <w:rsid w:val="00C60138"/>
    <w:rsid w:val="00C87A04"/>
    <w:rsid w:val="00CB7DBB"/>
    <w:rsid w:val="00CC0E47"/>
    <w:rsid w:val="00CC4479"/>
    <w:rsid w:val="00CD16BC"/>
    <w:rsid w:val="00CE440F"/>
    <w:rsid w:val="00D21825"/>
    <w:rsid w:val="00D22C1E"/>
    <w:rsid w:val="00D45DE9"/>
    <w:rsid w:val="00D55737"/>
    <w:rsid w:val="00D651F2"/>
    <w:rsid w:val="00D767AA"/>
    <w:rsid w:val="00D83E3C"/>
    <w:rsid w:val="00DB792E"/>
    <w:rsid w:val="00DC05A4"/>
    <w:rsid w:val="00DD289B"/>
    <w:rsid w:val="00E076F4"/>
    <w:rsid w:val="00E241F4"/>
    <w:rsid w:val="00E37E3A"/>
    <w:rsid w:val="00E5445B"/>
    <w:rsid w:val="00E74DEA"/>
    <w:rsid w:val="00EA2824"/>
    <w:rsid w:val="00EA4D61"/>
    <w:rsid w:val="00EE4A5E"/>
    <w:rsid w:val="00F24937"/>
    <w:rsid w:val="00F24B0A"/>
    <w:rsid w:val="00F26437"/>
    <w:rsid w:val="00F31629"/>
    <w:rsid w:val="00F476F9"/>
    <w:rsid w:val="00F506CF"/>
    <w:rsid w:val="00F85D06"/>
    <w:rsid w:val="00FB3633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E4E3"/>
  <w15:chartTrackingRefBased/>
  <w15:docId w15:val="{BB8AF8FD-5C93-48D2-A5CB-1D3D171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3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83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E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83E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8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">
    <w:name w:val="buk"/>
    <w:basedOn w:val="a0"/>
    <w:rsid w:val="00D83E3C"/>
  </w:style>
  <w:style w:type="character" w:styleId="a4">
    <w:name w:val="Strong"/>
    <w:basedOn w:val="a0"/>
    <w:uiPriority w:val="22"/>
    <w:qFormat/>
    <w:rsid w:val="00D83E3C"/>
    <w:rPr>
      <w:b/>
      <w:bCs/>
    </w:rPr>
  </w:style>
  <w:style w:type="paragraph" w:styleId="a5">
    <w:name w:val="List Paragraph"/>
    <w:basedOn w:val="a"/>
    <w:uiPriority w:val="34"/>
    <w:qFormat/>
    <w:rsid w:val="00D83E3C"/>
    <w:pPr>
      <w:ind w:left="720"/>
      <w:contextualSpacing/>
    </w:pPr>
  </w:style>
  <w:style w:type="paragraph" w:customStyle="1" w:styleId="Default">
    <w:name w:val="Default"/>
    <w:rsid w:val="00B95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43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A04"/>
  </w:style>
  <w:style w:type="paragraph" w:styleId="a8">
    <w:name w:val="footer"/>
    <w:basedOn w:val="a"/>
    <w:link w:val="a9"/>
    <w:uiPriority w:val="99"/>
    <w:unhideWhenUsed/>
    <w:rsid w:val="00443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A04"/>
  </w:style>
  <w:style w:type="character" w:customStyle="1" w:styleId="10">
    <w:name w:val="Заголовок 1 Знак"/>
    <w:basedOn w:val="a0"/>
    <w:link w:val="1"/>
    <w:uiPriority w:val="9"/>
    <w:rsid w:val="002A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2E34B7"/>
    <w:pPr>
      <w:spacing w:after="0" w:line="240" w:lineRule="auto"/>
    </w:pPr>
  </w:style>
  <w:style w:type="character" w:customStyle="1" w:styleId="rvts9">
    <w:name w:val="rvts9"/>
    <w:basedOn w:val="a0"/>
    <w:rsid w:val="00E3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591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42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8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154744">
          <w:marLeft w:val="0"/>
          <w:marRight w:val="0"/>
          <w:marTop w:val="0"/>
          <w:marBottom w:val="141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821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3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727">
                  <w:marLeft w:val="45"/>
                  <w:marRight w:val="45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10">
          <w:marLeft w:val="45"/>
          <w:marRight w:val="45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4441-B5A5-4E92-A7F4-B9A0FC83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8697</Words>
  <Characters>4958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28</cp:revision>
  <cp:lastPrinted>2024-06-26T08:11:00Z</cp:lastPrinted>
  <dcterms:created xsi:type="dcterms:W3CDTF">2024-09-02T12:59:00Z</dcterms:created>
  <dcterms:modified xsi:type="dcterms:W3CDTF">2024-09-11T10:19:00Z</dcterms:modified>
</cp:coreProperties>
</file>