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6E" w:rsidRDefault="001033F7" w:rsidP="001033F7">
      <w:pPr>
        <w:spacing w:after="0" w:line="240" w:lineRule="auto"/>
        <w:jc w:val="center"/>
        <w:rPr>
          <w:rFonts w:ascii="Times New Roman" w:eastAsia="Times New Roman" w:hAnsi="Times New Roman" w:cs="Times New Roman"/>
          <w:b/>
          <w:sz w:val="28"/>
          <w:szCs w:val="28"/>
          <w:lang w:val="uk-UA"/>
        </w:rPr>
      </w:pPr>
      <w:r w:rsidRPr="001033F7">
        <w:rPr>
          <w:rFonts w:ascii="Times New Roman" w:eastAsia="Times New Roman" w:hAnsi="Times New Roman" w:cs="Times New Roman"/>
          <w:b/>
          <w:sz w:val="28"/>
          <w:szCs w:val="28"/>
          <w:lang w:val="uk-UA"/>
        </w:rPr>
        <w:t>Пропозиції щодо вирішення проблем імпортозаміщення</w:t>
      </w:r>
    </w:p>
    <w:p w:rsidR="0010495B" w:rsidRPr="001033F7" w:rsidRDefault="0010495B" w:rsidP="001033F7">
      <w:pPr>
        <w:spacing w:after="0" w:line="240" w:lineRule="auto"/>
        <w:jc w:val="center"/>
        <w:rPr>
          <w:rFonts w:ascii="Times New Roman" w:eastAsia="Times New Roman" w:hAnsi="Times New Roman" w:cs="Times New Roman"/>
          <w:b/>
          <w:sz w:val="28"/>
          <w:szCs w:val="28"/>
          <w:lang w:val="uk-UA"/>
        </w:rPr>
      </w:pPr>
    </w:p>
    <w:p w:rsidR="007848E3" w:rsidRPr="001033F7" w:rsidRDefault="00543C8E" w:rsidP="001033F7">
      <w:pPr>
        <w:spacing w:after="120" w:line="240" w:lineRule="auto"/>
        <w:ind w:firstLine="708"/>
        <w:jc w:val="both"/>
        <w:rPr>
          <w:rFonts w:ascii="Times New Roman" w:eastAsia="Times New Roman" w:hAnsi="Times New Roman" w:cs="Times New Roman"/>
          <w:sz w:val="28"/>
          <w:szCs w:val="28"/>
          <w:lang w:val="uk-UA"/>
        </w:rPr>
      </w:pPr>
      <w:r w:rsidRPr="001033F7">
        <w:rPr>
          <w:rFonts w:ascii="Times New Roman" w:eastAsia="Times New Roman" w:hAnsi="Times New Roman" w:cs="Times New Roman"/>
          <w:sz w:val="28"/>
          <w:szCs w:val="28"/>
          <w:lang w:val="uk-UA"/>
        </w:rPr>
        <w:t xml:space="preserve">З метою забезпечення сприяння реалізації заходів імпортозаміщення та створення передумов для пришвидшення темпів заміщення критичної продукції підприємствами </w:t>
      </w:r>
      <w:r w:rsidR="001033F7" w:rsidRPr="001033F7">
        <w:rPr>
          <w:rFonts w:ascii="Times New Roman" w:eastAsia="Times New Roman" w:hAnsi="Times New Roman" w:cs="Times New Roman"/>
          <w:sz w:val="28"/>
          <w:szCs w:val="28"/>
          <w:lang w:val="uk-UA"/>
        </w:rPr>
        <w:t>вбачаємо за необхідне впровадити наступні заходи</w:t>
      </w:r>
      <w:r w:rsidRPr="001033F7">
        <w:rPr>
          <w:rFonts w:ascii="Times New Roman" w:eastAsia="Times New Roman" w:hAnsi="Times New Roman" w:cs="Times New Roman"/>
          <w:sz w:val="28"/>
          <w:szCs w:val="28"/>
          <w:lang w:val="uk-UA"/>
        </w:rPr>
        <w:t>:</w:t>
      </w:r>
    </w:p>
    <w:p w:rsidR="00543C8E" w:rsidRPr="001033F7" w:rsidRDefault="00543C8E" w:rsidP="001033F7">
      <w:pPr>
        <w:pStyle w:val="a3"/>
        <w:numPr>
          <w:ilvl w:val="0"/>
          <w:numId w:val="4"/>
        </w:numPr>
        <w:spacing w:after="120"/>
        <w:ind w:left="0" w:firstLine="708"/>
        <w:jc w:val="both"/>
        <w:rPr>
          <w:rFonts w:cs="Times New Roman"/>
          <w:b/>
          <w:szCs w:val="28"/>
        </w:rPr>
      </w:pPr>
      <w:r w:rsidRPr="001033F7">
        <w:rPr>
          <w:rFonts w:cs="Times New Roman"/>
          <w:b/>
          <w:szCs w:val="28"/>
        </w:rPr>
        <w:t>Затвердження Головних організацій з технічного супроводження ОВТ, за якою не здійснюється авторський нагляд</w:t>
      </w:r>
    </w:p>
    <w:p w:rsidR="00F8676A" w:rsidRPr="001033F7" w:rsidRDefault="00F8676A" w:rsidP="001033F7">
      <w:pPr>
        <w:pStyle w:val="Default"/>
        <w:ind w:firstLine="708"/>
        <w:jc w:val="both"/>
        <w:rPr>
          <w:sz w:val="28"/>
          <w:szCs w:val="28"/>
          <w:lang w:val="uk-UA"/>
        </w:rPr>
      </w:pPr>
      <w:r w:rsidRPr="001033F7">
        <w:rPr>
          <w:sz w:val="28"/>
          <w:szCs w:val="28"/>
          <w:lang w:val="uk-UA"/>
        </w:rPr>
        <w:t>Відповідно до Постанови КМУ №135 від 25.03.2015р. визначено порядок технічного супроводження озброєння, військової та спеціальної техніки (далі – ОВТ), згідно якого передбачено, що Міністерство оборони України (або інший державний замовник) на підставі наданих пропозицій визначають Головні організації з технічного супроводження ОВТ за якими не здійснюється авторський нагляд.</w:t>
      </w:r>
    </w:p>
    <w:p w:rsidR="00F8676A" w:rsidRPr="001033F7" w:rsidRDefault="00F8676A" w:rsidP="001033F7">
      <w:pPr>
        <w:pStyle w:val="Default"/>
        <w:ind w:firstLine="708"/>
        <w:jc w:val="both"/>
        <w:rPr>
          <w:color w:val="auto"/>
          <w:sz w:val="28"/>
          <w:szCs w:val="28"/>
          <w:shd w:val="clear" w:color="auto" w:fill="FFFFFF"/>
          <w:lang w:val="uk-UA"/>
        </w:rPr>
      </w:pPr>
      <w:r w:rsidRPr="001033F7">
        <w:rPr>
          <w:sz w:val="28"/>
          <w:szCs w:val="28"/>
          <w:lang w:val="uk-UA"/>
        </w:rPr>
        <w:t xml:space="preserve">Для визначення головних організацій проводиться оцінка </w:t>
      </w:r>
      <w:r w:rsidRPr="001033F7">
        <w:rPr>
          <w:color w:val="auto"/>
          <w:sz w:val="28"/>
          <w:szCs w:val="28"/>
          <w:shd w:val="clear" w:color="auto" w:fill="FFFFFF"/>
          <w:lang w:val="uk-UA"/>
        </w:rPr>
        <w:t>науково-технічних та виробничих потужностей підприємств, які розробляють, виготовляють, ремонтують або модернізують військову техніку. Відповідне рішення затверджується наказом Міністерства оборони України (або іншого державного замовника).</w:t>
      </w:r>
    </w:p>
    <w:p w:rsidR="00F8676A" w:rsidRPr="001033F7" w:rsidRDefault="00F8676A" w:rsidP="001033F7">
      <w:pPr>
        <w:pStyle w:val="Default"/>
        <w:ind w:firstLine="708"/>
        <w:jc w:val="both"/>
        <w:rPr>
          <w:color w:val="auto"/>
          <w:sz w:val="28"/>
          <w:szCs w:val="28"/>
          <w:shd w:val="clear" w:color="auto" w:fill="FFFFFF"/>
          <w:lang w:val="uk-UA"/>
        </w:rPr>
      </w:pPr>
      <w:r w:rsidRPr="001033F7">
        <w:rPr>
          <w:color w:val="auto"/>
          <w:sz w:val="28"/>
          <w:szCs w:val="28"/>
          <w:shd w:val="clear" w:color="auto" w:fill="FFFFFF"/>
          <w:lang w:val="uk-UA"/>
        </w:rPr>
        <w:t xml:space="preserve">Водночас по окремим ОВТ, за якими не здійснюється авторський нагляд, на даний момент не прийнято рішення щодо визначення Головних організацій.  Для питань авіабудування та авіаремонту </w:t>
      </w:r>
      <w:r w:rsidR="00EE57F6" w:rsidRPr="001033F7">
        <w:rPr>
          <w:color w:val="auto"/>
          <w:sz w:val="28"/>
          <w:szCs w:val="28"/>
          <w:shd w:val="clear" w:color="auto" w:fill="FFFFFF"/>
          <w:lang w:val="uk-UA"/>
        </w:rPr>
        <w:t>діє</w:t>
      </w:r>
      <w:r w:rsidRPr="001033F7">
        <w:rPr>
          <w:color w:val="auto"/>
          <w:sz w:val="28"/>
          <w:szCs w:val="28"/>
          <w:shd w:val="clear" w:color="auto" w:fill="FFFFFF"/>
          <w:lang w:val="uk-UA"/>
        </w:rPr>
        <w:t xml:space="preserve"> спеціальний нормативний </w:t>
      </w:r>
      <w:r w:rsidR="00EE57F6" w:rsidRPr="001033F7">
        <w:rPr>
          <w:color w:val="auto"/>
          <w:sz w:val="28"/>
          <w:szCs w:val="28"/>
          <w:shd w:val="clear" w:color="auto" w:fill="FFFFFF"/>
          <w:lang w:val="uk-UA"/>
        </w:rPr>
        <w:t>акт, який регулює прийняття рішення про можливість застосування аналогів продукції виробництва Російської Федерації – Наказ МОУ №339 від 20.06.2011р. Але для інших сфер ОВТ порядок прийняття рішення щодо можливості застосування аналогів продукції РФ відсутній.</w:t>
      </w:r>
    </w:p>
    <w:p w:rsidR="00EE57F6" w:rsidRPr="001033F7" w:rsidRDefault="00EE57F6" w:rsidP="001033F7">
      <w:pPr>
        <w:pStyle w:val="Default"/>
        <w:ind w:firstLine="708"/>
        <w:jc w:val="both"/>
        <w:rPr>
          <w:color w:val="auto"/>
          <w:sz w:val="28"/>
          <w:szCs w:val="28"/>
          <w:shd w:val="clear" w:color="auto" w:fill="FFFFFF"/>
          <w:lang w:val="uk-UA"/>
        </w:rPr>
      </w:pPr>
    </w:p>
    <w:p w:rsidR="00EE57F6" w:rsidRPr="001033F7" w:rsidRDefault="00EE57F6" w:rsidP="001033F7">
      <w:pPr>
        <w:pStyle w:val="Default"/>
        <w:ind w:firstLine="708"/>
        <w:jc w:val="both"/>
        <w:rPr>
          <w:color w:val="auto"/>
          <w:sz w:val="28"/>
          <w:szCs w:val="28"/>
          <w:shd w:val="clear" w:color="auto" w:fill="FFFFFF"/>
          <w:lang w:val="uk-UA"/>
        </w:rPr>
      </w:pPr>
      <w:r w:rsidRPr="001033F7">
        <w:rPr>
          <w:color w:val="auto"/>
          <w:sz w:val="28"/>
          <w:szCs w:val="28"/>
          <w:shd w:val="clear" w:color="auto" w:fill="FFFFFF"/>
          <w:lang w:val="uk-UA"/>
        </w:rPr>
        <w:t xml:space="preserve">З метою усунення такої перешкоди для впровадження заходів імпортозаміщення Концерном ініційовано спільне засідання з представниками Міністерства оборони України щодо </w:t>
      </w:r>
      <w:r w:rsidRPr="001033F7">
        <w:rPr>
          <w:sz w:val="28"/>
          <w:szCs w:val="28"/>
          <w:lang w:val="uk-UA"/>
        </w:rPr>
        <w:t>удосконалення механізмів імпортозаміщення.</w:t>
      </w:r>
    </w:p>
    <w:p w:rsidR="00F8676A" w:rsidRPr="001033F7" w:rsidRDefault="00F8676A" w:rsidP="001033F7">
      <w:pPr>
        <w:pStyle w:val="Default"/>
        <w:ind w:firstLine="708"/>
        <w:jc w:val="both"/>
        <w:rPr>
          <w:sz w:val="28"/>
          <w:szCs w:val="28"/>
          <w:lang w:val="uk-UA"/>
        </w:rPr>
      </w:pPr>
      <w:r w:rsidRPr="001033F7">
        <w:rPr>
          <w:sz w:val="28"/>
          <w:szCs w:val="28"/>
          <w:lang w:val="uk-UA"/>
        </w:rPr>
        <w:t xml:space="preserve">На виконання протокольного рішення наради з питань удосконалення механізмів імпортозаміщення від 18.12.2019р. за участі представників Міністерства оборони України та ДК «Укроборонпром» сформовано пропозиції щодо визначення Головних організацій з технічного супроводження: </w:t>
      </w:r>
    </w:p>
    <w:p w:rsidR="00F8676A" w:rsidRPr="001033F7" w:rsidRDefault="00F8676A" w:rsidP="001033F7">
      <w:pPr>
        <w:spacing w:after="120" w:line="240" w:lineRule="auto"/>
        <w:ind w:firstLine="708"/>
        <w:jc w:val="both"/>
        <w:rPr>
          <w:rFonts w:ascii="Times New Roman" w:hAnsi="Times New Roman" w:cs="Times New Roman"/>
          <w:sz w:val="28"/>
          <w:szCs w:val="28"/>
          <w:lang w:val="uk-UA"/>
        </w:rPr>
      </w:pPr>
    </w:p>
    <w:p w:rsidR="00F8676A" w:rsidRPr="001033F7" w:rsidRDefault="00F8676A" w:rsidP="001033F7">
      <w:pPr>
        <w:pStyle w:val="Default"/>
        <w:ind w:firstLine="708"/>
        <w:jc w:val="both"/>
        <w:rPr>
          <w:sz w:val="28"/>
          <w:szCs w:val="28"/>
          <w:lang w:val="uk-UA"/>
        </w:rPr>
      </w:pPr>
      <w:r w:rsidRPr="001033F7">
        <w:rPr>
          <w:b/>
          <w:bCs/>
          <w:sz w:val="28"/>
          <w:szCs w:val="28"/>
          <w:lang w:val="uk-UA"/>
        </w:rPr>
        <w:t xml:space="preserve">Державне виробничо-технічне підприємство “Гранітˮ </w:t>
      </w:r>
    </w:p>
    <w:p w:rsidR="00F8676A" w:rsidRPr="001033F7" w:rsidRDefault="00F8676A" w:rsidP="001033F7">
      <w:pPr>
        <w:pStyle w:val="Default"/>
        <w:ind w:firstLine="708"/>
        <w:jc w:val="both"/>
        <w:rPr>
          <w:sz w:val="28"/>
          <w:szCs w:val="28"/>
          <w:lang w:val="uk-UA"/>
        </w:rPr>
      </w:pPr>
      <w:r w:rsidRPr="001033F7">
        <w:rPr>
          <w:sz w:val="28"/>
          <w:szCs w:val="28"/>
          <w:lang w:val="uk-UA"/>
        </w:rPr>
        <w:t xml:space="preserve">З урахуванням наявності у підприємства документації на середній ремонт ЗРК 9К35 “Стрела-10ˮ, ППРУ-1 9С80 та багаторічного досвіду в проведенні зазначених робіт доцільно визначити ДВТП “Гранітˮ Головною організацією за вказаною номенклатурою. </w:t>
      </w:r>
    </w:p>
    <w:p w:rsidR="00F8676A" w:rsidRPr="001033F7" w:rsidRDefault="00F8676A" w:rsidP="001033F7">
      <w:pPr>
        <w:pStyle w:val="Default"/>
        <w:ind w:firstLine="708"/>
        <w:jc w:val="both"/>
        <w:rPr>
          <w:sz w:val="28"/>
          <w:szCs w:val="28"/>
          <w:lang w:val="uk-UA"/>
        </w:rPr>
      </w:pPr>
      <w:r w:rsidRPr="001033F7">
        <w:rPr>
          <w:sz w:val="28"/>
          <w:szCs w:val="28"/>
          <w:lang w:val="uk-UA"/>
        </w:rPr>
        <w:t xml:space="preserve">Підприємство має необхідний досвід, науково-технічні та виробничі потужності для виконання функцій технічного супроводження ЗРК 9К35 “Стрела-10ˮ, ППРУ-1 9С80, за якими не здійснюється авторський нагляд. </w:t>
      </w:r>
    </w:p>
    <w:p w:rsidR="00F8676A" w:rsidRPr="001033F7" w:rsidRDefault="00F8676A" w:rsidP="001033F7">
      <w:pPr>
        <w:pStyle w:val="Default"/>
        <w:ind w:firstLine="708"/>
        <w:jc w:val="both"/>
        <w:rPr>
          <w:sz w:val="28"/>
          <w:szCs w:val="28"/>
          <w:lang w:val="uk-UA"/>
        </w:rPr>
      </w:pPr>
      <w:r w:rsidRPr="001033F7">
        <w:rPr>
          <w:b/>
          <w:bCs/>
          <w:sz w:val="28"/>
          <w:szCs w:val="28"/>
          <w:lang w:val="uk-UA"/>
        </w:rPr>
        <w:lastRenderedPageBreak/>
        <w:t xml:space="preserve">Державне підприємство “Жулянський машинобудівний завод “Візарˮ </w:t>
      </w:r>
    </w:p>
    <w:p w:rsidR="00F8676A" w:rsidRPr="001033F7" w:rsidRDefault="00F8676A" w:rsidP="001033F7">
      <w:pPr>
        <w:pStyle w:val="Default"/>
        <w:ind w:firstLine="708"/>
        <w:jc w:val="both"/>
        <w:rPr>
          <w:color w:val="auto"/>
          <w:sz w:val="28"/>
          <w:szCs w:val="28"/>
          <w:lang w:val="uk-UA"/>
        </w:rPr>
      </w:pPr>
      <w:r w:rsidRPr="001033F7">
        <w:rPr>
          <w:sz w:val="28"/>
          <w:szCs w:val="28"/>
          <w:lang w:val="uk-UA"/>
        </w:rPr>
        <w:t xml:space="preserve">За часів колишнього СРСР підприємство виконувало замовлення із серійного виробництва зенітних керованих ракет 9К55. На цей час ДП “ЖМЗ “Візарˮ виконує в інтересах Повітряних Сил Збройних Сил України роботи з ремонту та продовження призначених показників ЗКР 9К55. Доцільно визначити ДП “ЖМЗ “Візарˮ Головною організацією з виконання зазначених робіт за вказаною номенклатурою. </w:t>
      </w:r>
      <w:r w:rsidRPr="001033F7">
        <w:rPr>
          <w:color w:val="auto"/>
          <w:sz w:val="28"/>
          <w:szCs w:val="28"/>
          <w:lang w:val="uk-UA"/>
        </w:rPr>
        <w:t xml:space="preserve">Підприємство має необхідний досвід, науково-технічні та виробничі потужності для виконання функцій технічного супроводження ЗКР 9К55, за яким не здійснюється авторський нагляд. </w:t>
      </w:r>
    </w:p>
    <w:p w:rsidR="00F8676A" w:rsidRPr="001033F7" w:rsidRDefault="00F8676A" w:rsidP="001033F7">
      <w:pPr>
        <w:pStyle w:val="Default"/>
        <w:ind w:firstLine="708"/>
        <w:jc w:val="both"/>
        <w:rPr>
          <w:color w:val="auto"/>
          <w:sz w:val="28"/>
          <w:szCs w:val="28"/>
          <w:lang w:val="uk-UA"/>
        </w:rPr>
      </w:pPr>
      <w:r w:rsidRPr="001033F7">
        <w:rPr>
          <w:b/>
          <w:bCs/>
          <w:color w:val="auto"/>
          <w:sz w:val="28"/>
          <w:szCs w:val="28"/>
          <w:lang w:val="uk-UA"/>
        </w:rPr>
        <w:t xml:space="preserve">Державне підприємство “Державне Київське конструкторське бюро “Лучˮ </w:t>
      </w:r>
    </w:p>
    <w:p w:rsidR="00F8676A" w:rsidRPr="001033F7" w:rsidRDefault="00F8676A" w:rsidP="001033F7">
      <w:pPr>
        <w:pStyle w:val="Default"/>
        <w:ind w:firstLine="708"/>
        <w:jc w:val="both"/>
        <w:rPr>
          <w:color w:val="auto"/>
          <w:sz w:val="28"/>
          <w:szCs w:val="28"/>
          <w:lang w:val="uk-UA"/>
        </w:rPr>
      </w:pPr>
      <w:r w:rsidRPr="001033F7">
        <w:rPr>
          <w:color w:val="auto"/>
          <w:sz w:val="28"/>
          <w:szCs w:val="28"/>
          <w:lang w:val="uk-UA"/>
        </w:rPr>
        <w:t xml:space="preserve">Підприємство має багаторічний досвід у виконанні робіт з продовження призначених показників авіаційних засобів ураження в інтересах Повітряних Сил Збройних Сил України. Доцільно визначити ДП “ДККБ “Лучˮ Головною організацією з виконання зазначених робіт за вказаною номенклатурою. </w:t>
      </w:r>
    </w:p>
    <w:p w:rsidR="00F8676A" w:rsidRPr="001033F7" w:rsidRDefault="00F8676A" w:rsidP="001033F7">
      <w:pPr>
        <w:pStyle w:val="Default"/>
        <w:ind w:firstLine="708"/>
        <w:jc w:val="both"/>
        <w:rPr>
          <w:color w:val="auto"/>
          <w:sz w:val="28"/>
          <w:szCs w:val="28"/>
          <w:lang w:val="uk-UA"/>
        </w:rPr>
      </w:pPr>
      <w:r w:rsidRPr="001033F7">
        <w:rPr>
          <w:color w:val="auto"/>
          <w:sz w:val="28"/>
          <w:szCs w:val="28"/>
          <w:lang w:val="uk-UA"/>
        </w:rPr>
        <w:t xml:space="preserve">Підприємство має необхідний досвід, науково-технічні та виробничі потужності для виконання функцій технічного супроводження авіаційних засобів ураження, за якими не здійснюється авторський нагляд. </w:t>
      </w:r>
    </w:p>
    <w:p w:rsidR="00F8676A" w:rsidRPr="001033F7" w:rsidRDefault="00F8676A" w:rsidP="001033F7">
      <w:pPr>
        <w:pStyle w:val="Default"/>
        <w:ind w:firstLine="708"/>
        <w:jc w:val="both"/>
        <w:rPr>
          <w:color w:val="auto"/>
          <w:sz w:val="28"/>
          <w:szCs w:val="28"/>
          <w:lang w:val="uk-UA"/>
        </w:rPr>
      </w:pPr>
      <w:r w:rsidRPr="001033F7">
        <w:rPr>
          <w:b/>
          <w:bCs/>
          <w:color w:val="auto"/>
          <w:sz w:val="28"/>
          <w:szCs w:val="28"/>
          <w:lang w:val="uk-UA"/>
        </w:rPr>
        <w:t xml:space="preserve">Державне підприємство “Львівський радіоремонтний заводˮ </w:t>
      </w:r>
    </w:p>
    <w:p w:rsidR="00F8676A" w:rsidRPr="001033F7" w:rsidRDefault="00F8676A" w:rsidP="001033F7">
      <w:pPr>
        <w:pStyle w:val="Default"/>
        <w:ind w:firstLine="708"/>
        <w:jc w:val="both"/>
        <w:rPr>
          <w:color w:val="auto"/>
          <w:sz w:val="28"/>
          <w:szCs w:val="28"/>
          <w:lang w:val="uk-UA"/>
        </w:rPr>
      </w:pPr>
      <w:r w:rsidRPr="001033F7">
        <w:rPr>
          <w:color w:val="auto"/>
          <w:sz w:val="28"/>
          <w:szCs w:val="28"/>
          <w:lang w:val="uk-UA"/>
        </w:rPr>
        <w:t xml:space="preserve">1. На виконання протокольних рішень з Міністерством оборони України від 05.01.2018р. ДП «ЛРРЗ» розпочало відновлення зенітних ракетних комплексів «ТОР». В 2019 році підприємство розпочало виконання ремонтних робіт ЗРК «ТОР» в рамках укладених контрактів з Міністерством оборони України. </w:t>
      </w:r>
    </w:p>
    <w:p w:rsidR="00F8676A" w:rsidRPr="001033F7" w:rsidRDefault="00F8676A" w:rsidP="001033F7">
      <w:pPr>
        <w:pStyle w:val="Default"/>
        <w:ind w:firstLine="708"/>
        <w:jc w:val="both"/>
        <w:rPr>
          <w:color w:val="auto"/>
          <w:sz w:val="28"/>
          <w:szCs w:val="28"/>
          <w:lang w:val="uk-UA"/>
        </w:rPr>
      </w:pPr>
      <w:r w:rsidRPr="001033F7">
        <w:rPr>
          <w:color w:val="auto"/>
          <w:sz w:val="28"/>
          <w:szCs w:val="28"/>
          <w:lang w:val="uk-UA"/>
        </w:rPr>
        <w:t xml:space="preserve">Підприємством розроблені необхідні комплекти технічної документації на відновлення, ремонт та продовження терміну строку дії призначених показників, відновлено ремонтну документацію, проведено ремонт та випробовування з відпрацюванням технологічного процесу для виконання ремонту ЗРК «ТОР». </w:t>
      </w:r>
    </w:p>
    <w:p w:rsidR="00F8676A" w:rsidRPr="001033F7" w:rsidRDefault="00F8676A" w:rsidP="001033F7">
      <w:pPr>
        <w:pStyle w:val="Default"/>
        <w:ind w:firstLine="708"/>
        <w:jc w:val="both"/>
        <w:rPr>
          <w:color w:val="auto"/>
          <w:sz w:val="28"/>
          <w:szCs w:val="28"/>
          <w:lang w:val="uk-UA"/>
        </w:rPr>
      </w:pPr>
      <w:r w:rsidRPr="001033F7">
        <w:rPr>
          <w:color w:val="auto"/>
          <w:sz w:val="28"/>
          <w:szCs w:val="28"/>
          <w:lang w:val="uk-UA"/>
        </w:rPr>
        <w:t xml:space="preserve">Підприємство має необхідний досвід, науково-технічні та виробничі потужності для виконання функцій технічного супроводження ЗРК «ТОР», за яким не здійснюється авторський нагляд. </w:t>
      </w:r>
    </w:p>
    <w:p w:rsidR="00F8676A" w:rsidRPr="001033F7" w:rsidRDefault="00F8676A" w:rsidP="001033F7">
      <w:pPr>
        <w:pStyle w:val="Default"/>
        <w:ind w:firstLine="708"/>
        <w:jc w:val="both"/>
        <w:rPr>
          <w:color w:val="auto"/>
          <w:sz w:val="28"/>
          <w:szCs w:val="28"/>
          <w:lang w:val="uk-UA"/>
        </w:rPr>
      </w:pPr>
      <w:r w:rsidRPr="001033F7">
        <w:rPr>
          <w:color w:val="auto"/>
          <w:sz w:val="28"/>
          <w:szCs w:val="28"/>
          <w:lang w:val="uk-UA"/>
        </w:rPr>
        <w:t xml:space="preserve">2. ДП «ЛРРЗ» відновлює зенітні ракетні комплекси С-125 в рамках контрактів з Міністерством оборони України з 2017 року, а для потреб інозамовника – з 2010 року. </w:t>
      </w:r>
    </w:p>
    <w:p w:rsidR="00F8676A" w:rsidRPr="001033F7" w:rsidRDefault="00F8676A" w:rsidP="001033F7">
      <w:pPr>
        <w:pStyle w:val="Default"/>
        <w:ind w:firstLine="708"/>
        <w:jc w:val="both"/>
        <w:rPr>
          <w:color w:val="auto"/>
          <w:sz w:val="28"/>
          <w:szCs w:val="28"/>
          <w:lang w:val="uk-UA"/>
        </w:rPr>
      </w:pPr>
      <w:r w:rsidRPr="001033F7">
        <w:rPr>
          <w:color w:val="auto"/>
          <w:sz w:val="28"/>
          <w:szCs w:val="28"/>
          <w:lang w:val="uk-UA"/>
        </w:rPr>
        <w:t xml:space="preserve">Підприємство розробило необхідні комплекти технічної документації на відновлення, ремонт та продовження терміну строку дії призначених показників, відновило ремонтну документацію, має підготовлене ремонтне виробництво з відпрацьованим технологічним процесом для виконання ремонту ЗРК С-125. </w:t>
      </w:r>
    </w:p>
    <w:p w:rsidR="00EE57F6" w:rsidRPr="001033F7" w:rsidRDefault="00F8676A" w:rsidP="001033F7">
      <w:pPr>
        <w:pStyle w:val="Default"/>
        <w:ind w:firstLine="708"/>
        <w:jc w:val="both"/>
        <w:rPr>
          <w:color w:val="auto"/>
          <w:sz w:val="28"/>
          <w:szCs w:val="28"/>
          <w:lang w:val="uk-UA"/>
        </w:rPr>
      </w:pPr>
      <w:r w:rsidRPr="001033F7">
        <w:rPr>
          <w:color w:val="auto"/>
          <w:sz w:val="28"/>
          <w:szCs w:val="28"/>
          <w:lang w:val="uk-UA"/>
        </w:rPr>
        <w:t xml:space="preserve">Підприємство має необхідний досвід, науково-технічні та виробничі потужності для виконання функцій технічного супроводження ЗРК С-125, за яким не здійснюється авторський нагляд. </w:t>
      </w:r>
    </w:p>
    <w:p w:rsidR="00EE57F6" w:rsidRPr="001033F7" w:rsidRDefault="00EE57F6" w:rsidP="001033F7">
      <w:pPr>
        <w:pStyle w:val="Default"/>
        <w:ind w:firstLine="708"/>
        <w:jc w:val="both"/>
        <w:rPr>
          <w:color w:val="auto"/>
          <w:sz w:val="28"/>
          <w:szCs w:val="28"/>
          <w:lang w:val="uk-UA"/>
        </w:rPr>
      </w:pPr>
    </w:p>
    <w:p w:rsidR="00543C8E" w:rsidRPr="001033F7" w:rsidRDefault="00543C8E" w:rsidP="001033F7">
      <w:pPr>
        <w:pStyle w:val="a3"/>
        <w:numPr>
          <w:ilvl w:val="0"/>
          <w:numId w:val="4"/>
        </w:numPr>
        <w:spacing w:after="120"/>
        <w:ind w:left="0" w:firstLine="708"/>
        <w:jc w:val="both"/>
        <w:rPr>
          <w:rFonts w:cs="Times New Roman"/>
          <w:b/>
          <w:szCs w:val="28"/>
        </w:rPr>
      </w:pPr>
      <w:r w:rsidRPr="001033F7">
        <w:rPr>
          <w:rFonts w:cs="Times New Roman"/>
          <w:b/>
          <w:szCs w:val="28"/>
        </w:rPr>
        <w:t>Створення державної програми фінансування заходів з імпортозаміщення</w:t>
      </w:r>
    </w:p>
    <w:p w:rsidR="00EE57F6" w:rsidRPr="001033F7" w:rsidRDefault="00EE57F6"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Створення програми державної підтримки підприємств державної форми власності щодо фінансування заходів, пов’язаних з реалізацією імпортозаміщення складових виробництва РФ (дослідження аналогів, проведення випробувань, залучення спеціалізованих організацій та установ) дасть можливість значно пришвидшити темпи дослідження імпортозаміщення, дослідження нових, більш сучасних технологічних рішень та сприятиме науково-технічному розвитку оборонно-промислового комплексу України.</w:t>
      </w:r>
    </w:p>
    <w:p w:rsidR="0021446E" w:rsidRPr="001033F7" w:rsidRDefault="00EE57F6"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На даний момент підприємства Концерну обмежені в фінансових ресурсах щодо питань</w:t>
      </w:r>
      <w:r w:rsidR="0021446E" w:rsidRPr="001033F7">
        <w:rPr>
          <w:rFonts w:ascii="Times New Roman" w:hAnsi="Times New Roman" w:cs="Times New Roman"/>
          <w:sz w:val="28"/>
          <w:szCs w:val="28"/>
          <w:lang w:val="uk-UA"/>
        </w:rPr>
        <w:t>, пов’язаних з імпортозаміщенням, зокрема:</w:t>
      </w:r>
    </w:p>
    <w:p w:rsidR="00EE57F6" w:rsidRPr="001033F7" w:rsidRDefault="0021446E"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w:t>
      </w:r>
      <w:r w:rsidR="00EE57F6" w:rsidRPr="001033F7">
        <w:rPr>
          <w:rFonts w:ascii="Times New Roman" w:hAnsi="Times New Roman" w:cs="Times New Roman"/>
          <w:sz w:val="28"/>
          <w:szCs w:val="28"/>
          <w:lang w:val="uk-UA"/>
        </w:rPr>
        <w:t xml:space="preserve"> закупівлі дослідних партій аналогічної та альтернативної продукції </w:t>
      </w:r>
      <w:r w:rsidRPr="001033F7">
        <w:rPr>
          <w:rFonts w:ascii="Times New Roman" w:hAnsi="Times New Roman" w:cs="Times New Roman"/>
          <w:sz w:val="28"/>
          <w:szCs w:val="28"/>
          <w:lang w:val="uk-UA"/>
        </w:rPr>
        <w:t>з метою її дослідження;</w:t>
      </w:r>
    </w:p>
    <w:p w:rsidR="0021446E" w:rsidRPr="001033F7" w:rsidRDefault="0021446E"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 проведення технічних випробувань, лабораторних вимірювань, обстежень, дослідної експлуатації з метою підтвердження відповідності продукції функціональним вимогам ОВТ;</w:t>
      </w:r>
    </w:p>
    <w:p w:rsidR="0021446E" w:rsidRPr="001033F7" w:rsidRDefault="0021446E"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 залучення спеціалізованих організацій та установ в окремих вузькоспеціалізованих сферах технологій та ін.</w:t>
      </w:r>
    </w:p>
    <w:p w:rsidR="00EE57F6" w:rsidRPr="001033F7" w:rsidRDefault="00EE57F6"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Забезпечення виконання програми шляхом фінансування видатків на проведення випробувань, дослідження аналогів та розробки</w:t>
      </w:r>
      <w:r w:rsidR="0021446E" w:rsidRPr="001033F7">
        <w:rPr>
          <w:rFonts w:ascii="Times New Roman" w:hAnsi="Times New Roman" w:cs="Times New Roman"/>
          <w:sz w:val="28"/>
          <w:szCs w:val="28"/>
          <w:lang w:val="uk-UA"/>
        </w:rPr>
        <w:t xml:space="preserve"> сучасних технологічних рішень (</w:t>
      </w:r>
      <w:r w:rsidRPr="001033F7">
        <w:rPr>
          <w:rFonts w:ascii="Times New Roman" w:hAnsi="Times New Roman" w:cs="Times New Roman"/>
          <w:sz w:val="28"/>
          <w:szCs w:val="28"/>
          <w:lang w:val="uk-UA"/>
        </w:rPr>
        <w:t>які не потребують виконання ДКР</w:t>
      </w:r>
      <w:r w:rsidR="0021446E" w:rsidRPr="001033F7">
        <w:rPr>
          <w:rFonts w:ascii="Times New Roman" w:hAnsi="Times New Roman" w:cs="Times New Roman"/>
          <w:sz w:val="28"/>
          <w:szCs w:val="28"/>
          <w:lang w:val="uk-UA"/>
        </w:rPr>
        <w:t>) дозволить суттєво пришвидшити темпи заміщення підприємствами Концерну</w:t>
      </w:r>
      <w:r w:rsidRPr="001033F7">
        <w:rPr>
          <w:rFonts w:ascii="Times New Roman" w:hAnsi="Times New Roman" w:cs="Times New Roman"/>
          <w:sz w:val="28"/>
          <w:szCs w:val="28"/>
          <w:lang w:val="uk-UA"/>
        </w:rPr>
        <w:t>.</w:t>
      </w:r>
    </w:p>
    <w:p w:rsidR="00543C8E" w:rsidRPr="001033F7" w:rsidRDefault="00543C8E" w:rsidP="001033F7">
      <w:pPr>
        <w:pStyle w:val="a3"/>
        <w:numPr>
          <w:ilvl w:val="0"/>
          <w:numId w:val="4"/>
        </w:numPr>
        <w:spacing w:after="120"/>
        <w:ind w:left="0" w:firstLine="708"/>
        <w:contextualSpacing w:val="0"/>
        <w:jc w:val="both"/>
        <w:rPr>
          <w:rFonts w:cs="Times New Roman"/>
          <w:b/>
          <w:szCs w:val="28"/>
        </w:rPr>
      </w:pPr>
      <w:r w:rsidRPr="001033F7">
        <w:rPr>
          <w:rFonts w:cs="Times New Roman"/>
          <w:b/>
          <w:szCs w:val="28"/>
        </w:rPr>
        <w:t>Створення центру дослідження матеріалів</w:t>
      </w:r>
    </w:p>
    <w:p w:rsidR="0021446E" w:rsidRPr="001033F7" w:rsidRDefault="0021446E"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 xml:space="preserve">Застосування альтернативних матеріалів під час виготовлення та ремонту ОВТ потребують проведення дослідження та експертної оцінки відповідності хімічних та фізичних властивостей альтернативних матеріалів, визначення їх якісних та ресурсних параметрів та прийняття рішення можливості їх застосування у складі виробу. </w:t>
      </w:r>
    </w:p>
    <w:p w:rsidR="0021446E" w:rsidRPr="001033F7" w:rsidRDefault="0021446E"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Для організації проведення такої роботи необхідна наявність спеціалізованого експертного центру з дослідження матеріалів на базі Інституту проблем матеріалознавства НАНУ ім. Францевича. Зазначена установа має необхідний досвід в сфері дослідження проблем матеріалознавства, розробки програм випробувань та комплексної оцінки властивостей матеріалів. Створення такого центру потребує забезпечення витрат на оновлення та осучаснення технологічного забезпечення ІПМ НАНУ ім. Францевича та організацію роботи експертного центру.</w:t>
      </w:r>
    </w:p>
    <w:p w:rsidR="0021446E" w:rsidRPr="001033F7" w:rsidRDefault="0021446E" w:rsidP="001033F7">
      <w:pPr>
        <w:spacing w:after="120"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 xml:space="preserve">У випадку наявності фінансування з боку держави ОПК України отримає можливість вирішення питання можливості застосування альтернативних </w:t>
      </w:r>
      <w:r w:rsidRPr="001033F7">
        <w:rPr>
          <w:rFonts w:ascii="Times New Roman" w:hAnsi="Times New Roman" w:cs="Times New Roman"/>
          <w:sz w:val="28"/>
          <w:szCs w:val="28"/>
          <w:lang w:val="uk-UA"/>
        </w:rPr>
        <w:lastRenderedPageBreak/>
        <w:t>матеріалів та реалізації імпортозаміщення матеріалів, які розроблені та виготовляються на території РФ.</w:t>
      </w:r>
    </w:p>
    <w:p w:rsidR="0021446E" w:rsidRPr="001033F7" w:rsidRDefault="0021446E" w:rsidP="001033F7">
      <w:pPr>
        <w:spacing w:after="120"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Можливим варіантом забезпечення фінансування даних потреб є включення створення спеціалізованого експертного центру з дослідження матеріалів  ІПМ НАНУ ім. Францевича в програму технічного переоснащення підприємств ОПК, що реалізується ДП «УЦ «Безпека».</w:t>
      </w:r>
    </w:p>
    <w:p w:rsidR="00543C8E" w:rsidRPr="001033F7" w:rsidRDefault="00543C8E" w:rsidP="001033F7">
      <w:pPr>
        <w:pStyle w:val="a3"/>
        <w:numPr>
          <w:ilvl w:val="0"/>
          <w:numId w:val="4"/>
        </w:numPr>
        <w:spacing w:after="120"/>
        <w:ind w:left="0" w:firstLine="708"/>
        <w:contextualSpacing w:val="0"/>
        <w:jc w:val="both"/>
        <w:rPr>
          <w:rFonts w:cs="Times New Roman"/>
          <w:b/>
          <w:szCs w:val="28"/>
        </w:rPr>
      </w:pPr>
      <w:r w:rsidRPr="001033F7">
        <w:rPr>
          <w:rFonts w:cs="Times New Roman"/>
          <w:b/>
          <w:szCs w:val="28"/>
        </w:rPr>
        <w:t>Створення центру дослідження спеціальних сплавів</w:t>
      </w:r>
    </w:p>
    <w:p w:rsidR="0021446E" w:rsidRPr="001033F7" w:rsidRDefault="0021446E"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 xml:space="preserve">Застосування аналогів та розробка альтернативних спеціальних сплавів для потреб авіа- та ракетобудування і спеціальної техніки потребують проведення дослідження та експертної оцінки відповідності хімічних та фізичних властивостей альтернативних матеріалів, визначення їх якісних та ресурсних параметрів та прийняття рішення можливості їх застосування у складі виробу. </w:t>
      </w:r>
    </w:p>
    <w:p w:rsidR="0021446E" w:rsidRPr="001033F7" w:rsidRDefault="0021446E" w:rsidP="001033F7">
      <w:pPr>
        <w:spacing w:after="120"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Для організації проведення такої роботи необхідна наявність спеціалізованого експертного центру з дослідження спеціальних сплавів на базі ДП «НТЦ ПАТОН-ВІРМЕНІЯ ІНСТИТУТУ ЕЛЕКТРОЗВАРЮВАННЯ ІМ. Є.О. ПАТОНА НАН УКРАЇНИ.</w:t>
      </w:r>
    </w:p>
    <w:p w:rsidR="0021446E" w:rsidRPr="001033F7" w:rsidRDefault="0021446E" w:rsidP="001033F7">
      <w:pPr>
        <w:spacing w:after="120" w:line="240" w:lineRule="auto"/>
        <w:jc w:val="both"/>
        <w:rPr>
          <w:rFonts w:cs="Times New Roman"/>
          <w:sz w:val="28"/>
          <w:szCs w:val="28"/>
          <w:lang w:val="uk-UA"/>
        </w:rPr>
      </w:pPr>
      <w:r w:rsidRPr="001033F7">
        <w:rPr>
          <w:rFonts w:ascii="Times New Roman" w:hAnsi="Times New Roman" w:cs="Times New Roman"/>
          <w:sz w:val="28"/>
          <w:szCs w:val="28"/>
          <w:lang w:val="uk-UA"/>
        </w:rPr>
        <w:t>Можливим варіантом забезпечення фінансування даних потреб є включення створення спеціалізованого експертного центру з дослідження спеціальних сплавів  ДП «НТЦ ПАТОН-ВІРМЕНІЯ ІНСТИТУТУ ЕЛЕКТРОЗВАРЮВАННЯ ІМ. Є.О. ПАТОНА НАН УКРАЇНИ в програму технічного переоснащення підприємств ОПК, що реалізується ДП «УЦ «Безпека».</w:t>
      </w:r>
    </w:p>
    <w:p w:rsidR="00543C8E" w:rsidRPr="001033F7" w:rsidRDefault="00543C8E" w:rsidP="001033F7">
      <w:pPr>
        <w:pStyle w:val="a3"/>
        <w:numPr>
          <w:ilvl w:val="0"/>
          <w:numId w:val="4"/>
        </w:numPr>
        <w:spacing w:after="120"/>
        <w:ind w:left="0" w:firstLine="708"/>
        <w:contextualSpacing w:val="0"/>
        <w:jc w:val="both"/>
        <w:rPr>
          <w:rFonts w:cs="Times New Roman"/>
          <w:b/>
          <w:szCs w:val="28"/>
        </w:rPr>
      </w:pPr>
      <w:r w:rsidRPr="001033F7">
        <w:rPr>
          <w:rFonts w:cs="Times New Roman"/>
          <w:b/>
          <w:szCs w:val="28"/>
        </w:rPr>
        <w:t>Створення центру дослідження високоточних приладів і систем</w:t>
      </w:r>
    </w:p>
    <w:p w:rsidR="0021446E" w:rsidRPr="001033F7" w:rsidRDefault="0021446E"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 xml:space="preserve">Однією з головних задач імпортозаміщення є задачі пов’язані з освоєнням виробництва сучасних систем управління, стабілізації, контролю та автоматизації, які побудовані на високоточних приладах (інклінометри, акселерометри, гірокомпаси та інші високоточні системи і компоненти). </w:t>
      </w:r>
    </w:p>
    <w:p w:rsidR="0021446E" w:rsidRPr="001033F7" w:rsidRDefault="0021446E"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Дослідження сучасних технологій, які здатні забезпечити заміну радянських систем потребує функціонування спеціалізованого центру з дослідження таких технологій.</w:t>
      </w:r>
    </w:p>
    <w:p w:rsidR="0021446E" w:rsidRPr="001033F7" w:rsidRDefault="0021446E"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Створення центру дослідження високоточних приладів і систем доцільно організувати на базі НАН України</w:t>
      </w:r>
      <w:r w:rsidR="0004472B" w:rsidRPr="001033F7">
        <w:rPr>
          <w:rFonts w:ascii="Times New Roman" w:hAnsi="Times New Roman" w:cs="Times New Roman"/>
          <w:sz w:val="28"/>
          <w:szCs w:val="28"/>
          <w:lang w:val="uk-UA"/>
        </w:rPr>
        <w:t xml:space="preserve"> (попередньо розглядається варіант створення спеціалізованого центру на базі КПІ ім. І. Сікорського, який має відповідну кафедру та фахових експертів в даній сфері).</w:t>
      </w:r>
    </w:p>
    <w:p w:rsidR="0021446E" w:rsidRPr="001033F7" w:rsidRDefault="0021446E" w:rsidP="001033F7">
      <w:pPr>
        <w:spacing w:after="120"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У випадку наявності фінансування ОПК України отримає можливість вирішення питання застосування альтернативних технологій систем управління, стабілізації, контролю та автоматизації</w:t>
      </w:r>
      <w:r w:rsidR="0004472B" w:rsidRPr="001033F7">
        <w:rPr>
          <w:rFonts w:ascii="Times New Roman" w:hAnsi="Times New Roman" w:cs="Times New Roman"/>
          <w:sz w:val="28"/>
          <w:szCs w:val="28"/>
          <w:lang w:val="uk-UA"/>
        </w:rPr>
        <w:t xml:space="preserve"> виробництва РФ</w:t>
      </w:r>
      <w:r w:rsidRPr="001033F7">
        <w:rPr>
          <w:rFonts w:ascii="Times New Roman" w:hAnsi="Times New Roman" w:cs="Times New Roman"/>
          <w:sz w:val="28"/>
          <w:szCs w:val="28"/>
          <w:lang w:val="uk-UA"/>
        </w:rPr>
        <w:t>, які використовуються в ОВТ.</w:t>
      </w:r>
      <w:r w:rsidR="0004472B" w:rsidRPr="001033F7">
        <w:rPr>
          <w:rFonts w:ascii="Times New Roman" w:hAnsi="Times New Roman" w:cs="Times New Roman"/>
          <w:sz w:val="28"/>
          <w:szCs w:val="28"/>
          <w:lang w:val="uk-UA"/>
        </w:rPr>
        <w:t xml:space="preserve"> </w:t>
      </w:r>
    </w:p>
    <w:p w:rsidR="0004472B" w:rsidRPr="001033F7" w:rsidRDefault="0004472B" w:rsidP="001033F7">
      <w:pPr>
        <w:spacing w:after="120" w:line="240" w:lineRule="auto"/>
        <w:jc w:val="both"/>
        <w:rPr>
          <w:rFonts w:cs="Times New Roman"/>
          <w:sz w:val="28"/>
          <w:szCs w:val="28"/>
          <w:lang w:val="uk-UA"/>
        </w:rPr>
      </w:pPr>
    </w:p>
    <w:p w:rsidR="00543C8E" w:rsidRPr="001033F7" w:rsidRDefault="00543C8E" w:rsidP="001033F7">
      <w:pPr>
        <w:pStyle w:val="a3"/>
        <w:numPr>
          <w:ilvl w:val="0"/>
          <w:numId w:val="4"/>
        </w:numPr>
        <w:spacing w:after="120"/>
        <w:ind w:left="0" w:firstLine="708"/>
        <w:contextualSpacing w:val="0"/>
        <w:jc w:val="both"/>
        <w:rPr>
          <w:rFonts w:cs="Times New Roman"/>
          <w:b/>
          <w:szCs w:val="28"/>
        </w:rPr>
      </w:pPr>
      <w:r w:rsidRPr="001033F7">
        <w:rPr>
          <w:rFonts w:cs="Times New Roman"/>
          <w:b/>
          <w:szCs w:val="28"/>
        </w:rPr>
        <w:lastRenderedPageBreak/>
        <w:t>Створення центру дослідження мікропроцесорних технологій та радіоелектроніки</w:t>
      </w:r>
    </w:p>
    <w:p w:rsidR="0004472B" w:rsidRPr="001033F7" w:rsidRDefault="0004472B"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 xml:space="preserve">Застосування альтернативних елементів електроніки та мікропроцесорної техніки  під час виготовлення та ремонту ОВТ потребують проведення дослідження та експертної оцінки відповідності характеристик таких елементів, визначення їх якісних та ресурсних параметрів та прийняття рішення можливості їх застосування у складі виробу. </w:t>
      </w:r>
    </w:p>
    <w:p w:rsidR="0004472B" w:rsidRPr="001033F7" w:rsidRDefault="0004472B"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Щодо більшості радянських елементів радіоелектроніки та мікропроцесорної техніки наявні більш сучасні аналоги, які мають кращі властивості та характеристики. Водночас застосування альтернативних елементів потребують комплексного дослідження відповідності роботи систем та вузлів при зміні одного з компонентів та проведення корегування інтегрованих схем з метою осучаснення елементної бази.</w:t>
      </w:r>
    </w:p>
    <w:p w:rsidR="0004472B" w:rsidRPr="001033F7" w:rsidRDefault="0004472B" w:rsidP="001033F7">
      <w:pPr>
        <w:spacing w:line="240" w:lineRule="auto"/>
        <w:jc w:val="both"/>
        <w:rPr>
          <w:rFonts w:ascii="Times New Roman" w:hAnsi="Times New Roman" w:cs="Times New Roman"/>
          <w:sz w:val="28"/>
          <w:szCs w:val="28"/>
          <w:lang w:val="uk-UA"/>
        </w:rPr>
      </w:pPr>
      <w:r w:rsidRPr="001033F7">
        <w:rPr>
          <w:rFonts w:ascii="Times New Roman" w:hAnsi="Times New Roman" w:cs="Times New Roman"/>
          <w:sz w:val="28"/>
          <w:szCs w:val="28"/>
          <w:lang w:val="uk-UA"/>
        </w:rPr>
        <w:t xml:space="preserve">Для організації проведення такої роботи необхідна наявність спеціалізованого експертного центру з дослідження мікропроцесорних технологій та радіоелектроніки, яке пропонується створити на базі НАН Україна. </w:t>
      </w:r>
    </w:p>
    <w:p w:rsidR="0004472B" w:rsidRPr="001033F7" w:rsidRDefault="0004472B" w:rsidP="001033F7">
      <w:pPr>
        <w:pStyle w:val="Default"/>
        <w:jc w:val="both"/>
        <w:rPr>
          <w:sz w:val="28"/>
          <w:szCs w:val="28"/>
          <w:lang w:val="uk-UA"/>
        </w:rPr>
      </w:pPr>
      <w:r w:rsidRPr="001033F7">
        <w:rPr>
          <w:sz w:val="28"/>
          <w:szCs w:val="28"/>
          <w:lang w:val="uk-UA"/>
        </w:rPr>
        <w:t>У випадку наявності фінансування ОПК України отримає можливість вирішення питання можливості застосування альтернативних елементів електроніки та мікропроцесорних технологій та реалізації імпортозаміщення в цій сфері.</w:t>
      </w:r>
    </w:p>
    <w:sectPr w:rsidR="0004472B" w:rsidRPr="001033F7" w:rsidSect="0010495B">
      <w:headerReference w:type="default" r:id="rId8"/>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5B1" w:rsidRDefault="007145B1" w:rsidP="0010495B">
      <w:pPr>
        <w:spacing w:after="0" w:line="240" w:lineRule="auto"/>
      </w:pPr>
      <w:r>
        <w:separator/>
      </w:r>
    </w:p>
  </w:endnote>
  <w:endnote w:type="continuationSeparator" w:id="0">
    <w:p w:rsidR="007145B1" w:rsidRDefault="007145B1" w:rsidP="00104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5B1" w:rsidRDefault="007145B1" w:rsidP="0010495B">
      <w:pPr>
        <w:spacing w:after="0" w:line="240" w:lineRule="auto"/>
      </w:pPr>
      <w:r>
        <w:separator/>
      </w:r>
    </w:p>
  </w:footnote>
  <w:footnote w:type="continuationSeparator" w:id="0">
    <w:p w:rsidR="007145B1" w:rsidRDefault="007145B1" w:rsidP="001049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4082"/>
      <w:docPartObj>
        <w:docPartGallery w:val="Page Numbers (Top of Page)"/>
        <w:docPartUnique/>
      </w:docPartObj>
    </w:sdtPr>
    <w:sdtContent>
      <w:p w:rsidR="0010495B" w:rsidRDefault="0010495B">
        <w:pPr>
          <w:pStyle w:val="a5"/>
          <w:jc w:val="right"/>
        </w:pPr>
        <w:fldSimple w:instr=" PAGE   \* MERGEFORMAT ">
          <w:r>
            <w:rPr>
              <w:noProof/>
            </w:rPr>
            <w:t>2</w:t>
          </w:r>
        </w:fldSimple>
      </w:p>
    </w:sdtContent>
  </w:sdt>
  <w:p w:rsidR="0010495B" w:rsidRDefault="0010495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64AF"/>
    <w:multiLevelType w:val="hybridMultilevel"/>
    <w:tmpl w:val="FCF28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6965CB"/>
    <w:multiLevelType w:val="hybridMultilevel"/>
    <w:tmpl w:val="A3AA286E"/>
    <w:lvl w:ilvl="0" w:tplc="68B0910A">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BEA106C"/>
    <w:multiLevelType w:val="multilevel"/>
    <w:tmpl w:val="037E4BDE"/>
    <w:lvl w:ilvl="0">
      <w:start w:val="1"/>
      <w:numFmt w:val="decimal"/>
      <w:lvlText w:val="%1."/>
      <w:lvlJc w:val="left"/>
      <w:pPr>
        <w:ind w:left="8866" w:hanging="360"/>
      </w:pPr>
      <w:rPr>
        <w:rFonts w:hint="default"/>
        <w:b/>
      </w:rPr>
    </w:lvl>
    <w:lvl w:ilvl="1">
      <w:start w:val="1"/>
      <w:numFmt w:val="decimal"/>
      <w:isLgl/>
      <w:lvlText w:val="%1.%2."/>
      <w:lvlJc w:val="left"/>
      <w:pPr>
        <w:ind w:left="1112" w:hanging="720"/>
      </w:pPr>
      <w:rPr>
        <w:rFonts w:hint="default"/>
        <w:b w:val="0"/>
        <w:i w:val="0"/>
        <w:color w:val="auto"/>
        <w:lang w:val="ru-RU"/>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0C4576"/>
    <w:multiLevelType w:val="hybridMultilevel"/>
    <w:tmpl w:val="C292180E"/>
    <w:lvl w:ilvl="0" w:tplc="AD7873D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7BF5543"/>
    <w:multiLevelType w:val="hybridMultilevel"/>
    <w:tmpl w:val="5818172E"/>
    <w:lvl w:ilvl="0" w:tplc="5F129C00">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
    <w:nsid w:val="79BA2174"/>
    <w:multiLevelType w:val="hybridMultilevel"/>
    <w:tmpl w:val="C3423480"/>
    <w:lvl w:ilvl="0" w:tplc="F1BC558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0D2E"/>
    <w:rsid w:val="00006C78"/>
    <w:rsid w:val="0004472B"/>
    <w:rsid w:val="000525CB"/>
    <w:rsid w:val="000965B5"/>
    <w:rsid w:val="001033F7"/>
    <w:rsid w:val="0010495B"/>
    <w:rsid w:val="0013748E"/>
    <w:rsid w:val="001F56D9"/>
    <w:rsid w:val="0021446E"/>
    <w:rsid w:val="00237A61"/>
    <w:rsid w:val="003B784A"/>
    <w:rsid w:val="003C0B41"/>
    <w:rsid w:val="003F2148"/>
    <w:rsid w:val="00543C8E"/>
    <w:rsid w:val="00663B4F"/>
    <w:rsid w:val="007145B1"/>
    <w:rsid w:val="007848E3"/>
    <w:rsid w:val="00830D2E"/>
    <w:rsid w:val="00873096"/>
    <w:rsid w:val="00B215B2"/>
    <w:rsid w:val="00B234B2"/>
    <w:rsid w:val="00BC7B58"/>
    <w:rsid w:val="00C20D97"/>
    <w:rsid w:val="00C70563"/>
    <w:rsid w:val="00CE6186"/>
    <w:rsid w:val="00E02BD3"/>
    <w:rsid w:val="00E46F31"/>
    <w:rsid w:val="00E551EF"/>
    <w:rsid w:val="00EE57F6"/>
    <w:rsid w:val="00F6741C"/>
    <w:rsid w:val="00F86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86"/>
  </w:style>
  <w:style w:type="paragraph" w:styleId="3">
    <w:name w:val="heading 3"/>
    <w:basedOn w:val="a"/>
    <w:link w:val="30"/>
    <w:uiPriority w:val="9"/>
    <w:qFormat/>
    <w:rsid w:val="003C0B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0B41"/>
    <w:rPr>
      <w:rFonts w:ascii="Times New Roman" w:eastAsia="Times New Roman" w:hAnsi="Times New Roman" w:cs="Times New Roman"/>
      <w:b/>
      <w:bCs/>
      <w:sz w:val="27"/>
      <w:szCs w:val="27"/>
      <w:lang w:eastAsia="ru-RU"/>
    </w:rPr>
  </w:style>
  <w:style w:type="paragraph" w:styleId="a3">
    <w:name w:val="List Paragraph"/>
    <w:basedOn w:val="a"/>
    <w:uiPriority w:val="1"/>
    <w:qFormat/>
    <w:rsid w:val="00237A61"/>
    <w:pPr>
      <w:spacing w:after="0" w:line="240" w:lineRule="auto"/>
      <w:ind w:left="720"/>
      <w:contextualSpacing/>
    </w:pPr>
    <w:rPr>
      <w:rFonts w:ascii="Times New Roman" w:hAnsi="Times New Roman"/>
      <w:sz w:val="28"/>
      <w:lang w:val="uk-UA"/>
    </w:rPr>
  </w:style>
  <w:style w:type="table" w:styleId="a4">
    <w:name w:val="Table Grid"/>
    <w:basedOn w:val="a1"/>
    <w:uiPriority w:val="39"/>
    <w:rsid w:val="00543C8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676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1049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95B"/>
  </w:style>
  <w:style w:type="paragraph" w:styleId="a7">
    <w:name w:val="footer"/>
    <w:basedOn w:val="a"/>
    <w:link w:val="a8"/>
    <w:uiPriority w:val="99"/>
    <w:semiHidden/>
    <w:unhideWhenUsed/>
    <w:rsid w:val="0010495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0495B"/>
  </w:style>
</w:styles>
</file>

<file path=word/webSettings.xml><?xml version="1.0" encoding="utf-8"?>
<w:webSettings xmlns:r="http://schemas.openxmlformats.org/officeDocument/2006/relationships" xmlns:w="http://schemas.openxmlformats.org/wordprocessingml/2006/main">
  <w:divs>
    <w:div w:id="114216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34447-7F91-4A1C-9D74-FE7FC8D9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1634</Words>
  <Characters>9317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 Datsenko</dc:creator>
  <cp:lastModifiedBy>ed</cp:lastModifiedBy>
  <cp:revision>2</cp:revision>
  <cp:lastPrinted>2021-10-11T10:20:00Z</cp:lastPrinted>
  <dcterms:created xsi:type="dcterms:W3CDTF">2021-10-11T11:02:00Z</dcterms:created>
  <dcterms:modified xsi:type="dcterms:W3CDTF">2021-10-11T11:02:00Z</dcterms:modified>
</cp:coreProperties>
</file>